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color w:val="000000" w:themeColor="text1"/>
          <w14:textFill>
            <w14:solidFill>
              <w14:schemeClr w14:val="tx1"/>
            </w14:solidFill>
          </w14:textFill>
        </w:rPr>
      </w:pPr>
      <w:bookmarkStart w:id="754" w:name="_GoBack"/>
      <w:bookmarkEnd w:id="754"/>
      <w:r>
        <w:rPr>
          <w:rFonts w:hint="eastAsia" w:ascii="宋体" w:hAnsi="宋体" w:cs="宋体"/>
          <w:color w:val="000000" w:themeColor="text1"/>
          <w14:textFill>
            <w14:solidFill>
              <w14:schemeClr w14:val="tx1"/>
            </w14:solidFill>
          </w14:textFill>
        </w:rPr>
        <w:t xml:space="preserve"> </w:t>
      </w:r>
    </w:p>
    <w:p>
      <w:pPr>
        <w:jc w:val="center"/>
        <w:rPr>
          <w:rFonts w:ascii="宋体" w:hAnsi="宋体" w:cs="宋体"/>
          <w:color w:val="000000" w:themeColor="text1"/>
          <w14:textFill>
            <w14:solidFill>
              <w14:schemeClr w14:val="tx1"/>
            </w14:solidFill>
          </w14:textFill>
        </w:rPr>
      </w:pPr>
    </w:p>
    <w:p>
      <w:pPr>
        <w:spacing w:line="1600" w:lineRule="exact"/>
        <w:jc w:val="center"/>
        <w:rPr>
          <w:rFonts w:ascii="方正黑体_GBK" w:eastAsia="方正黑体_GBK"/>
          <w:color w:val="000000" w:themeColor="text1"/>
          <w:sz w:val="100"/>
          <w14:textFill>
            <w14:solidFill>
              <w14:schemeClr w14:val="tx1"/>
            </w14:solidFill>
          </w14:textFill>
        </w:rPr>
      </w:pPr>
      <w:r>
        <w:rPr>
          <w:rFonts w:hint="eastAsia" w:ascii="方正黑体_GBK" w:eastAsia="方正黑体_GBK"/>
          <w:color w:val="000000" w:themeColor="text1"/>
          <w:sz w:val="100"/>
          <w14:textFill>
            <w14:solidFill>
              <w14:schemeClr w14:val="tx1"/>
            </w14:solidFill>
          </w14:textFill>
        </w:rPr>
        <w:t>政府采购</w:t>
      </w:r>
    </w:p>
    <w:p>
      <w:pPr>
        <w:spacing w:line="1600" w:lineRule="exact"/>
        <w:jc w:val="center"/>
        <w:rPr>
          <w:rFonts w:ascii="宋体" w:hAnsi="宋体" w:cs="宋体"/>
          <w:color w:val="000000" w:themeColor="text1"/>
          <w:sz w:val="130"/>
          <w:szCs w:val="130"/>
          <w14:textFill>
            <w14:solidFill>
              <w14:schemeClr w14:val="tx1"/>
            </w14:solidFill>
          </w14:textFill>
        </w:rPr>
      </w:pPr>
      <w:r>
        <w:rPr>
          <w:rFonts w:hint="eastAsia" w:ascii="方正黑体_GBK" w:eastAsia="方正黑体_GBK"/>
          <w:color w:val="000000" w:themeColor="text1"/>
          <w:sz w:val="130"/>
          <w:szCs w:val="130"/>
          <w14:textFill>
            <w14:solidFill>
              <w14:schemeClr w14:val="tx1"/>
            </w14:solidFill>
          </w14:textFill>
        </w:rPr>
        <w:t>竞争性磋商文件</w:t>
      </w: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500" w:lineRule="exac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   目   号：</w:t>
      </w:r>
      <w:r>
        <w:rPr>
          <w:rFonts w:ascii="方正小标宋_GBK" w:hAnsi="宋体" w:eastAsia="方正小标宋_GBK"/>
          <w:color w:val="000000" w:themeColor="text1"/>
          <w:sz w:val="36"/>
          <w:szCs w:val="36"/>
          <w14:textFill>
            <w14:solidFill>
              <w14:schemeClr w14:val="tx1"/>
            </w14:solidFill>
          </w14:textFill>
        </w:rPr>
        <w:t>CQS24C00891</w:t>
      </w:r>
    </w:p>
    <w:p>
      <w:pPr>
        <w:spacing w:line="500" w:lineRule="exac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 xml:space="preserve">采购执行编号：1708-BC2400461038AF </w:t>
      </w:r>
    </w:p>
    <w:p>
      <w:pPr>
        <w:spacing w:line="500" w:lineRule="exac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磋商项目名称：成渝铁路江津至隆昌段扩能改造（含重庆都</w:t>
      </w:r>
    </w:p>
    <w:p>
      <w:pPr>
        <w:spacing w:line="500" w:lineRule="exact"/>
        <w:ind w:firstLine="2160" w:firstLineChars="6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市圈铁路西环线永川至江津段）预可行性研究</w:t>
      </w: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1800" w:firstLineChars="500"/>
        <w:jc w:val="lef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采购人：重庆市发展和改革委员会</w:t>
      </w:r>
    </w:p>
    <w:p>
      <w:pPr>
        <w:spacing w:line="500" w:lineRule="exact"/>
        <w:ind w:firstLine="1800" w:firstLineChars="5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采购代理机构：重庆市政府采购中心</w:t>
      </w:r>
    </w:p>
    <w:p>
      <w:pPr>
        <w:spacing w:line="500" w:lineRule="exact"/>
        <w:ind w:firstLine="2340" w:firstLineChars="650"/>
        <w:jc w:val="left"/>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720"/>
        <w:jc w:val="center"/>
        <w:rPr>
          <w:rFonts w:ascii="方正小标宋_GBK" w:hAnsi="宋体" w:eastAsia="方正小标宋_GBK"/>
          <w:color w:val="000000" w:themeColor="text1"/>
          <w:sz w:val="36"/>
          <w:szCs w:val="36"/>
          <w14:textFill>
            <w14:solidFill>
              <w14:schemeClr w14:val="tx1"/>
            </w14:solidFill>
          </w14:textFill>
        </w:rPr>
      </w:pPr>
    </w:p>
    <w:p>
      <w:pPr>
        <w:spacing w:line="50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二〇二四年九月</w:t>
      </w:r>
    </w:p>
    <w:p>
      <w:pPr>
        <w:spacing w:line="500" w:lineRule="exact"/>
        <w:ind w:firstLine="2340" w:firstLineChars="650"/>
        <w:jc w:val="center"/>
        <w:rPr>
          <w:rFonts w:ascii="方正小标宋_GBK" w:hAnsi="宋体" w:eastAsia="方正小标宋_GBK"/>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napToGrid w:val="0"/>
        <w:spacing w:line="500" w:lineRule="exact"/>
        <w:ind w:firstLine="482"/>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目   录</w:t>
      </w:r>
    </w:p>
    <w:p>
      <w:pPr>
        <w:pStyle w:val="37"/>
        <w:tabs>
          <w:tab w:val="right" w:leader="dot" w:pos="9402"/>
        </w:tabs>
        <w:ind w:firstLine="422"/>
        <w:rPr>
          <w:rFonts w:asciiTheme="minorHAnsi" w:hAnsiTheme="minorHAnsi" w:eastAsiaTheme="minorEastAsia" w:cstheme="minorBidi"/>
          <w:b w:val="0"/>
          <w:color w:val="000000" w:themeColor="text1"/>
          <w:sz w:val="21"/>
          <w:szCs w:val="22"/>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TOC \o "1-3" \h \z </w:instrText>
      </w:r>
      <w:r>
        <w:rPr>
          <w:rFonts w:hint="eastAsia" w:ascii="宋体" w:hAnsi="宋体" w:cs="宋体"/>
          <w:color w:val="000000" w:themeColor="text1"/>
          <w:sz w:val="21"/>
          <w:szCs w:val="21"/>
          <w14:textFill>
            <w14:solidFill>
              <w14:schemeClr w14:val="tx1"/>
            </w14:solidFill>
          </w14:textFill>
        </w:rPr>
        <w:fldChar w:fldCharType="separate"/>
      </w:r>
      <w:r>
        <w:fldChar w:fldCharType="begin"/>
      </w:r>
      <w:r>
        <w:instrText xml:space="preserve"> HYPERLINK \l "_Toc154503348" </w:instrText>
      </w:r>
      <w:r>
        <w:fldChar w:fldCharType="separate"/>
      </w:r>
      <w:r>
        <w:rPr>
          <w:rStyle w:val="64"/>
          <w:rFonts w:hint="eastAsia" w:cs="宋体"/>
          <w:bCs/>
          <w:color w:val="000000" w:themeColor="text1"/>
          <w14:textFill>
            <w14:solidFill>
              <w14:schemeClr w14:val="tx1"/>
            </w14:solidFill>
          </w14:textFill>
        </w:rPr>
        <w:t>第一篇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"_Toc154503349" </w:instrText>
      </w:r>
      <w:r>
        <w:fldChar w:fldCharType="separate"/>
      </w:r>
      <w:r>
        <w:rPr>
          <w:rStyle w:val="64"/>
          <w:rFonts w:hint="eastAsia" w:ascii="宋体" w:hAnsi="宋体" w:cs="宋体"/>
          <w:color w:val="000000" w:themeColor="text1"/>
          <w14:textFill>
            <w14:solidFill>
              <w14:schemeClr w14:val="tx1"/>
            </w14:solidFill>
          </w14:textFill>
        </w:rPr>
        <w:t>一、竞争性磋商内容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"_Toc154503350" </w:instrText>
      </w:r>
      <w:r>
        <w:fldChar w:fldCharType="separate"/>
      </w:r>
      <w:r>
        <w:rPr>
          <w:rStyle w:val="64"/>
          <w:rFonts w:hint="eastAsia" w:ascii="宋体" w:hAnsi="宋体" w:cs="宋体"/>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"_Toc154503351" </w:instrText>
      </w:r>
      <w:r>
        <w:fldChar w:fldCharType="separate"/>
      </w:r>
      <w:r>
        <w:rPr>
          <w:rStyle w:val="64"/>
          <w:rFonts w:hint="eastAsia" w:ascii="宋体" w:hAnsi="宋体" w:cs="宋体"/>
          <w:color w:val="000000" w:themeColor="text1"/>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"_Toc154503352" </w:instrText>
      </w:r>
      <w:r>
        <w:fldChar w:fldCharType="separate"/>
      </w:r>
      <w:r>
        <w:rPr>
          <w:rStyle w:val="64"/>
          <w:rFonts w:hint="eastAsia" w:ascii="宋体" w:hAnsi="宋体" w:cs="宋体"/>
          <w:color w:val="000000" w:themeColor="text1"/>
          <w14:textFill>
            <w14:solidFill>
              <w14:schemeClr w14:val="tx1"/>
            </w14:solidFill>
          </w14:textFill>
        </w:rPr>
        <w:t>四、磋商有关说明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"_Toc154503353" </w:instrText>
      </w:r>
      <w:r>
        <w:fldChar w:fldCharType="separate"/>
      </w:r>
      <w:r>
        <w:rPr>
          <w:rStyle w:val="64"/>
          <w:rFonts w:hint="eastAsia" w:ascii="宋体" w:hAnsi="宋体" w:cs="宋体"/>
          <w:color w:val="000000" w:themeColor="text1"/>
          <w14:textFill>
            <w14:solidFill>
              <w14:schemeClr w14:val="tx1"/>
            </w14:solidFill>
          </w14:textFill>
        </w:rPr>
        <w:t>五、采购项目需落实的政府采购政策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"_Toc154503354" </w:instrText>
      </w:r>
      <w:r>
        <w:fldChar w:fldCharType="separate"/>
      </w:r>
      <w:r>
        <w:rPr>
          <w:rStyle w:val="64"/>
          <w:rFonts w:hint="eastAsia" w:ascii="宋体" w:hAnsi="宋体" w:cs="宋体"/>
          <w:color w:val="000000" w:themeColor="text1"/>
          <w14:textFill>
            <w14:solidFill>
              <w14:schemeClr w14:val="tx1"/>
            </w14:solidFill>
          </w14:textFill>
        </w:rPr>
        <w:t>六、其它有关规定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"_Toc154503355" </w:instrText>
      </w:r>
      <w:r>
        <w:fldChar w:fldCharType="separate"/>
      </w:r>
      <w:r>
        <w:rPr>
          <w:rStyle w:val="64"/>
          <w:rFonts w:hint="eastAsia" w:ascii="宋体" w:hAnsi="宋体" w:cs="宋体"/>
          <w:color w:val="000000" w:themeColor="text1"/>
          <w14:textFill>
            <w14:solidFill>
              <w14:schemeClr w14:val="tx1"/>
            </w14:solidFill>
          </w14:textFill>
        </w:rPr>
        <w:t>七、联系方式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"_Toc154503356" </w:instrText>
      </w:r>
      <w:r>
        <w:fldChar w:fldCharType="separate"/>
      </w:r>
      <w:r>
        <w:rPr>
          <w:rStyle w:val="64"/>
          <w:rFonts w:hint="eastAsia" w:cs="宋体"/>
          <w:bCs/>
          <w:color w:val="000000" w:themeColor="text1"/>
          <w14:textFill>
            <w14:solidFill>
              <w14:schemeClr w14:val="tx1"/>
            </w14:solidFill>
          </w14:textFill>
        </w:rPr>
        <w:t>第二篇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"_Toc154503357" </w:instrText>
      </w:r>
      <w:r>
        <w:fldChar w:fldCharType="separate"/>
      </w:r>
      <w:r>
        <w:rPr>
          <w:rStyle w:val="64"/>
          <w:rFonts w:hint="eastAsia" w:ascii="宋体" w:hAnsi="宋体" w:cs="宋体"/>
          <w:color w:val="000000" w:themeColor="text1"/>
          <w14:textFill>
            <w14:solidFill>
              <w14:schemeClr w14:val="tx1"/>
            </w14:solidFill>
          </w14:textFill>
        </w:rPr>
        <w:t>一、服务范围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"_Toc154503358" </w:instrText>
      </w:r>
      <w:r>
        <w:fldChar w:fldCharType="separate"/>
      </w:r>
      <w:r>
        <w:rPr>
          <w:rStyle w:val="64"/>
          <w:rFonts w:hint="eastAsia" w:ascii="宋体" w:hAnsi="宋体" w:cs="宋体"/>
          <w:color w:val="000000" w:themeColor="text1"/>
          <w14:textFill>
            <w14:solidFill>
              <w14:schemeClr w14:val="tx1"/>
            </w14:solidFill>
          </w14:textFill>
        </w:rPr>
        <w:t>※二、服务要求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"_Toc154503359" </w:instrText>
      </w:r>
      <w:r>
        <w:fldChar w:fldCharType="separate"/>
      </w:r>
      <w:r>
        <w:rPr>
          <w:rStyle w:val="64"/>
          <w:rFonts w:hint="eastAsia" w:ascii="宋体" w:hAnsi="宋体" w:cs="宋体"/>
          <w:color w:val="000000" w:themeColor="text1"/>
          <w14:textFill>
            <w14:solidFill>
              <w14:schemeClr w14:val="tx1"/>
            </w14:solidFill>
          </w14:textFill>
        </w:rPr>
        <w:t>三、服务标准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"_Toc154503360" </w:instrText>
      </w:r>
      <w:r>
        <w:fldChar w:fldCharType="separate"/>
      </w:r>
      <w:r>
        <w:rPr>
          <w:rStyle w:val="64"/>
          <w:rFonts w:hint="eastAsia" w:cs="宋体"/>
          <w:bCs/>
          <w:color w:val="000000" w:themeColor="text1"/>
          <w14:textFill>
            <w14:solidFill>
              <w14:schemeClr w14:val="tx1"/>
            </w14:solidFill>
          </w14:textFill>
        </w:rPr>
        <w:t>第三篇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"_Toc154503361" </w:instrText>
      </w:r>
      <w:r>
        <w:fldChar w:fldCharType="separate"/>
      </w:r>
      <w:r>
        <w:rPr>
          <w:rStyle w:val="64"/>
          <w:rFonts w:hint="eastAsia" w:ascii="宋体" w:hAnsi="宋体" w:cs="宋体"/>
          <w:color w:val="000000" w:themeColor="text1"/>
          <w14:textFill>
            <w14:solidFill>
              <w14:schemeClr w14:val="tx1"/>
            </w14:solidFill>
          </w14:textFill>
        </w:rPr>
        <w:t>一、实施时间和实施地点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"_Toc154503362" </w:instrText>
      </w:r>
      <w:r>
        <w:fldChar w:fldCharType="separate"/>
      </w:r>
      <w:r>
        <w:rPr>
          <w:rStyle w:val="64"/>
          <w:rFonts w:hint="eastAsia" w:ascii="宋体" w:hAnsi="宋体" w:cs="宋体"/>
          <w:color w:val="000000" w:themeColor="text1"/>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"_Toc154503363" </w:instrText>
      </w:r>
      <w:r>
        <w:fldChar w:fldCharType="separate"/>
      </w:r>
      <w:r>
        <w:rPr>
          <w:rStyle w:val="64"/>
          <w:rFonts w:hint="eastAsia" w:ascii="宋体" w:hAnsi="宋体" w:cs="宋体"/>
          <w:color w:val="000000" w:themeColor="text1"/>
          <w14:textFill>
            <w14:solidFill>
              <w14:schemeClr w14:val="tx1"/>
            </w14:solidFill>
          </w14:textFill>
        </w:rPr>
        <w:t>三、付款方式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"_Toc154503364" </w:instrText>
      </w:r>
      <w:r>
        <w:fldChar w:fldCharType="separate"/>
      </w:r>
      <w:r>
        <w:rPr>
          <w:rStyle w:val="64"/>
          <w:rFonts w:hint="eastAsia" w:ascii="宋体" w:hAnsi="宋体" w:cs="宋体"/>
          <w:color w:val="000000" w:themeColor="text1"/>
          <w14:textFill>
            <w14:solidFill>
              <w14:schemeClr w14:val="tx1"/>
            </w14:solidFill>
          </w14:textFill>
        </w:rPr>
        <w:t>四、人员配置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"_Toc154503365" </w:instrText>
      </w:r>
      <w:r>
        <w:fldChar w:fldCharType="separate"/>
      </w:r>
      <w:r>
        <w:rPr>
          <w:rStyle w:val="64"/>
          <w:rFonts w:hint="eastAsia" w:cs="宋体"/>
          <w:bCs/>
          <w:color w:val="000000" w:themeColor="text1"/>
          <w14:textFill>
            <w14:solidFill>
              <w14:schemeClr w14:val="tx1"/>
            </w14:solidFill>
          </w14:textFill>
        </w:rPr>
        <w:t>第四篇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磋商程序及方法、评审标准、无效响应和采购终止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"_Toc154503366" </w:instrText>
      </w:r>
      <w:r>
        <w:fldChar w:fldCharType="separate"/>
      </w:r>
      <w:r>
        <w:rPr>
          <w:rStyle w:val="64"/>
          <w:rFonts w:hint="eastAsia" w:ascii="宋体" w:hAnsi="宋体" w:cs="宋体"/>
          <w:color w:val="000000" w:themeColor="text1"/>
          <w14:textFill>
            <w14:solidFill>
              <w14:schemeClr w14:val="tx1"/>
            </w14:solidFill>
          </w14:textFill>
        </w:rPr>
        <w:t>一、磋商程序及方法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"_Toc154503367" </w:instrText>
      </w:r>
      <w:r>
        <w:fldChar w:fldCharType="separate"/>
      </w:r>
      <w:r>
        <w:rPr>
          <w:rStyle w:val="64"/>
          <w:rFonts w:hint="eastAsia" w:ascii="宋体" w:hAnsi="宋体" w:cs="宋体"/>
          <w:color w:val="000000" w:themeColor="text1"/>
          <w14:textFill>
            <w14:solidFill>
              <w14:schemeClr w14:val="tx1"/>
            </w14:solidFill>
          </w14:textFill>
        </w:rPr>
        <w:t>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"_Toc154503368" </w:instrText>
      </w:r>
      <w:r>
        <w:fldChar w:fldCharType="separate"/>
      </w:r>
      <w:r>
        <w:rPr>
          <w:rStyle w:val="64"/>
          <w:rFonts w:hint="eastAsia" w:ascii="宋体" w:hAnsi="宋体" w:cs="宋体"/>
          <w:color w:val="000000" w:themeColor="text1"/>
          <w14:textFill>
            <w14:solidFill>
              <w14:schemeClr w14:val="tx1"/>
            </w14:solidFill>
          </w14:textFill>
        </w:rPr>
        <w:t>三、无效响应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"_Toc154503369" </w:instrText>
      </w:r>
      <w:r>
        <w:fldChar w:fldCharType="separate"/>
      </w:r>
      <w:r>
        <w:rPr>
          <w:rStyle w:val="64"/>
          <w:rFonts w:hint="eastAsia" w:ascii="宋体" w:hAnsi="宋体" w:cs="宋体"/>
          <w:color w:val="000000" w:themeColor="text1"/>
          <w14:textFill>
            <w14:solidFill>
              <w14:schemeClr w14:val="tx1"/>
            </w14:solidFill>
          </w14:textFill>
        </w:rPr>
        <w:t>四、采购终止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"_Toc154503370" </w:instrText>
      </w:r>
      <w:r>
        <w:fldChar w:fldCharType="separate"/>
      </w:r>
      <w:r>
        <w:rPr>
          <w:rStyle w:val="64"/>
          <w:rFonts w:hint="eastAsia" w:cs="宋体"/>
          <w:bCs/>
          <w:color w:val="000000" w:themeColor="text1"/>
          <w14:textFill>
            <w14:solidFill>
              <w14:schemeClr w14:val="tx1"/>
            </w14:solidFill>
          </w14:textFill>
        </w:rPr>
        <w:t>第五篇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"_Toc154503371" </w:instrText>
      </w:r>
      <w:r>
        <w:fldChar w:fldCharType="separate"/>
      </w:r>
      <w:r>
        <w:rPr>
          <w:rStyle w:val="64"/>
          <w:rFonts w:hint="eastAsia" w:ascii="宋体" w:hAnsi="宋体" w:cs="宋体"/>
          <w:color w:val="000000" w:themeColor="text1"/>
          <w14:textFill>
            <w14:solidFill>
              <w14:schemeClr w14:val="tx1"/>
            </w14:solidFill>
          </w14:textFill>
        </w:rPr>
        <w:t>一、磋商费用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"_Toc154503372" </w:instrText>
      </w:r>
      <w:r>
        <w:fldChar w:fldCharType="separate"/>
      </w:r>
      <w:r>
        <w:rPr>
          <w:rStyle w:val="64"/>
          <w:rFonts w:hint="eastAsia" w:ascii="宋体" w:hAnsi="宋体" w:cs="宋体"/>
          <w:color w:val="000000" w:themeColor="text1"/>
          <w14:textFill>
            <w14:solidFill>
              <w14:schemeClr w14:val="tx1"/>
            </w14:solidFill>
          </w14:textFill>
        </w:rPr>
        <w:t>二、竞争性磋商文件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"_Toc154503373" </w:instrText>
      </w:r>
      <w:r>
        <w:fldChar w:fldCharType="separate"/>
      </w:r>
      <w:r>
        <w:rPr>
          <w:rStyle w:val="64"/>
          <w:rFonts w:hint="eastAsia" w:ascii="宋体" w:hAnsi="宋体" w:cs="宋体"/>
          <w:color w:val="000000" w:themeColor="text1"/>
          <w14:textFill>
            <w14:solidFill>
              <w14:schemeClr w14:val="tx1"/>
            </w14:solidFill>
          </w14:textFill>
        </w:rPr>
        <w:t>三、磋商要求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"_Toc154503374" </w:instrText>
      </w:r>
      <w:r>
        <w:fldChar w:fldCharType="separate"/>
      </w:r>
      <w:r>
        <w:rPr>
          <w:rStyle w:val="64"/>
          <w:rFonts w:hint="eastAsia" w:ascii="宋体" w:hAnsi="宋体" w:cs="宋体"/>
          <w:color w:val="000000" w:themeColor="text1"/>
          <w14:textFill>
            <w14:solidFill>
              <w14:schemeClr w14:val="tx1"/>
            </w14:solidFill>
          </w14:textFill>
        </w:rPr>
        <w:t>四、成交供应商的确认和变更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"_Toc154503375" </w:instrText>
      </w:r>
      <w:r>
        <w:fldChar w:fldCharType="separate"/>
      </w:r>
      <w:r>
        <w:rPr>
          <w:rStyle w:val="64"/>
          <w:rFonts w:hint="eastAsia" w:ascii="宋体" w:hAnsi="宋体" w:cs="宋体"/>
          <w:color w:val="000000" w:themeColor="text1"/>
          <w14:textFill>
            <w14:solidFill>
              <w14:schemeClr w14:val="tx1"/>
            </w14:solidFill>
          </w14:textFill>
        </w:rPr>
        <w:t>五、成交通知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"_Toc154503376" </w:instrText>
      </w:r>
      <w:r>
        <w:fldChar w:fldCharType="separate"/>
      </w:r>
      <w:r>
        <w:rPr>
          <w:rStyle w:val="64"/>
          <w:rFonts w:hint="eastAsia" w:ascii="宋体" w:hAnsi="宋体" w:cs="宋体"/>
          <w:color w:val="000000" w:themeColor="text1"/>
          <w14:textFill>
            <w14:solidFill>
              <w14:schemeClr w14:val="tx1"/>
            </w14:solidFill>
          </w14:textFill>
        </w:rPr>
        <w:t>六、关于质疑和投诉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"_Toc154503377" </w:instrText>
      </w:r>
      <w:r>
        <w:fldChar w:fldCharType="separate"/>
      </w:r>
      <w:r>
        <w:rPr>
          <w:rStyle w:val="64"/>
          <w:rFonts w:hint="eastAsia" w:ascii="宋体" w:hAnsi="宋体" w:cs="宋体"/>
          <w:color w:val="000000" w:themeColor="text1"/>
          <w14:textFill>
            <w14:solidFill>
              <w14:schemeClr w14:val="tx1"/>
            </w14:solidFill>
          </w14:textFill>
        </w:rPr>
        <w:t>七、采购代理服务费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"_Toc154503378" </w:instrText>
      </w:r>
      <w:r>
        <w:fldChar w:fldCharType="separate"/>
      </w:r>
      <w:r>
        <w:rPr>
          <w:rStyle w:val="64"/>
          <w:rFonts w:hint="eastAsia" w:ascii="宋体" w:hAnsi="宋体" w:cs="宋体"/>
          <w:color w:val="000000" w:themeColor="text1"/>
          <w14:textFill>
            <w14:solidFill>
              <w14:schemeClr w14:val="tx1"/>
            </w14:solidFill>
          </w14:textFill>
        </w:rPr>
        <w:t>八、交易服务费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"_Toc154503379" </w:instrText>
      </w:r>
      <w:r>
        <w:fldChar w:fldCharType="separate"/>
      </w:r>
      <w:r>
        <w:rPr>
          <w:rStyle w:val="64"/>
          <w:rFonts w:hint="eastAsia" w:ascii="宋体" w:hAnsi="宋体" w:cs="宋体"/>
          <w:color w:val="000000" w:themeColor="text1"/>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"_Toc154503380" </w:instrText>
      </w:r>
      <w:r>
        <w:fldChar w:fldCharType="separate"/>
      </w:r>
      <w:r>
        <w:rPr>
          <w:rStyle w:val="64"/>
          <w:rFonts w:hint="eastAsia" w:ascii="宋体" w:hAnsi="宋体" w:cs="宋体"/>
          <w:color w:val="000000" w:themeColor="text1"/>
          <w14:textFill>
            <w14:solidFill>
              <w14:schemeClr w14:val="tx1"/>
            </w14:solidFill>
          </w14:textFill>
        </w:rPr>
        <w:t>十、项目验收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"_Toc154503381" </w:instrText>
      </w:r>
      <w:r>
        <w:fldChar w:fldCharType="separate"/>
      </w:r>
      <w:r>
        <w:rPr>
          <w:rStyle w:val="64"/>
          <w:rFonts w:hint="eastAsia" w:ascii="宋体" w:hAnsi="宋体" w:cs="宋体"/>
          <w:color w:val="000000" w:themeColor="text1"/>
          <w14:textFill>
            <w14:solidFill>
              <w14:schemeClr w14:val="tx1"/>
            </w14:solidFill>
          </w14:textFill>
        </w:rPr>
        <w:t>十一、政府采购信用融资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"_Toc154503382" </w:instrText>
      </w:r>
      <w:r>
        <w:fldChar w:fldCharType="separate"/>
      </w:r>
      <w:r>
        <w:rPr>
          <w:rStyle w:val="64"/>
          <w:rFonts w:hint="eastAsia" w:cs="宋体"/>
          <w:bCs/>
          <w:color w:val="000000" w:themeColor="text1"/>
          <w14:textFill>
            <w14:solidFill>
              <w14:schemeClr w14:val="tx1"/>
            </w14:solidFill>
          </w14:textFill>
        </w:rPr>
        <w:t>第六篇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政府采购合同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"_Toc154503383" </w:instrText>
      </w:r>
      <w:r>
        <w:fldChar w:fldCharType="separate"/>
      </w:r>
      <w:r>
        <w:rPr>
          <w:rStyle w:val="64"/>
          <w:rFonts w:hint="eastAsia" w:cs="宋体"/>
          <w:bCs/>
          <w:color w:val="000000" w:themeColor="text1"/>
          <w14:textFill>
            <w14:solidFill>
              <w14:schemeClr w14:val="tx1"/>
            </w14:solidFill>
          </w14:textFill>
        </w:rPr>
        <w:t>第七篇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"_Toc154503384" </w:instrText>
      </w:r>
      <w:r>
        <w:fldChar w:fldCharType="separate"/>
      </w:r>
      <w:r>
        <w:rPr>
          <w:rStyle w:val="64"/>
          <w:rFonts w:hint="eastAsia" w:ascii="宋体" w:hAnsi="宋体" w:cs="宋体"/>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"_Toc154503385" </w:instrText>
      </w:r>
      <w:r>
        <w:fldChar w:fldCharType="separate"/>
      </w:r>
      <w:r>
        <w:rPr>
          <w:rStyle w:val="64"/>
          <w:rFonts w:hint="eastAsia" w:ascii="宋体" w:hAnsi="宋体" w:cs="宋体"/>
          <w:color w:val="000000" w:themeColor="text1"/>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"_Toc154503386" </w:instrText>
      </w:r>
      <w:r>
        <w:fldChar w:fldCharType="separate"/>
      </w:r>
      <w:r>
        <w:rPr>
          <w:rStyle w:val="64"/>
          <w:rFonts w:hint="eastAsia" w:ascii="宋体" w:hAnsi="宋体" w:cs="宋体"/>
          <w:color w:val="000000" w:themeColor="text1"/>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"_Toc154503387" </w:instrText>
      </w:r>
      <w:r>
        <w:fldChar w:fldCharType="separate"/>
      </w:r>
      <w:r>
        <w:rPr>
          <w:rStyle w:val="64"/>
          <w:rFonts w:hint="eastAsia" w:ascii="宋体" w:hAnsi="宋体" w:cs="宋体"/>
          <w:color w:val="000000" w:themeColor="text1"/>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spacing w:line="480" w:lineRule="exact"/>
        <w:jc w:val="center"/>
        <w:rPr>
          <w:rFonts w:ascii="宋体" w:hAnsi="宋体" w:cs="宋体"/>
          <w:color w:val="000000" w:themeColor="text1"/>
          <w:sz w:val="18"/>
          <w:szCs w:val="22"/>
          <w14:textFill>
            <w14:solidFill>
              <w14:schemeClr w14:val="tx1"/>
            </w14:solidFill>
          </w14:textFill>
        </w:rPr>
        <w:sectPr>
          <w:footerReference r:id="rId8"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000000" w:themeColor="text1"/>
          <w:szCs w:val="21"/>
          <w14:textFill>
            <w14:solidFill>
              <w14:schemeClr w14:val="tx1"/>
            </w14:solidFill>
          </w14:textFill>
        </w:rPr>
        <w:fldChar w:fldCharType="end"/>
      </w:r>
    </w:p>
    <w:p>
      <w:pPr>
        <w:pStyle w:val="2"/>
        <w:tabs>
          <w:tab w:val="left" w:pos="3360"/>
        </w:tabs>
        <w:ind w:firstLine="723"/>
        <w:rPr>
          <w:rFonts w:cs="宋体"/>
          <w:bCs/>
          <w:color w:val="000000" w:themeColor="text1"/>
          <w:szCs w:val="36"/>
          <w14:textFill>
            <w14:solidFill>
              <w14:schemeClr w14:val="tx1"/>
            </w14:solidFill>
          </w14:textFill>
        </w:rPr>
      </w:pPr>
      <w:bookmarkStart w:id="0" w:name="_Toc1093"/>
      <w:bookmarkStart w:id="1" w:name="_Toc32257"/>
      <w:bookmarkStart w:id="2" w:name="_Toc12789052"/>
      <w:bookmarkStart w:id="3" w:name="_Toc25898"/>
      <w:bookmarkStart w:id="4" w:name="_Toc14301"/>
      <w:bookmarkStart w:id="5" w:name="_Toc11641050"/>
      <w:bookmarkStart w:id="6" w:name="_Toc29801"/>
      <w:bookmarkStart w:id="7" w:name="_Toc10824"/>
      <w:bookmarkStart w:id="8" w:name="_Toc18714"/>
      <w:bookmarkStart w:id="9" w:name="_Toc14209"/>
      <w:bookmarkStart w:id="10" w:name="_Toc30212"/>
      <w:bookmarkStart w:id="11" w:name="_Toc76462316"/>
      <w:bookmarkStart w:id="12" w:name="_Toc32565"/>
      <w:bookmarkStart w:id="13" w:name="_Toc1105"/>
      <w:bookmarkStart w:id="14" w:name="_Toc150169336"/>
      <w:bookmarkStart w:id="15" w:name="_Toc154503348"/>
      <w:bookmarkStart w:id="16" w:name="_Toc10331"/>
      <w:bookmarkStart w:id="17" w:name="_Toc4987"/>
      <w:bookmarkStart w:id="18" w:name="_Toc2132"/>
      <w:bookmarkStart w:id="19" w:name="_Toc10404"/>
      <w:bookmarkStart w:id="20" w:name="_Toc14103"/>
      <w:r>
        <w:rPr>
          <w:rFonts w:hint="eastAsia" w:cs="宋体"/>
          <w:bCs/>
          <w:color w:val="000000" w:themeColor="text1"/>
          <w:szCs w:val="36"/>
          <w14:textFill>
            <w14:solidFill>
              <w14:schemeClr w14:val="tx1"/>
            </w14:solidFill>
          </w14:textFill>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政府采购中心（以下简称：采购代理机构）接受重庆市发展和改革委员会（以下简称：采购人）的委托，对成渝铁路江津至隆昌段扩能改造（含重庆都市圈铁路西环线永川至江津段）预可行性研究项目进行竞争性磋商采购。欢迎有资格的供应商前来参与磋商。</w:t>
      </w:r>
    </w:p>
    <w:p>
      <w:pPr>
        <w:pStyle w:val="3"/>
        <w:adjustRightInd w:val="0"/>
        <w:snapToGrid w:val="0"/>
        <w:spacing w:before="0" w:after="0" w:line="240" w:lineRule="auto"/>
        <w:ind w:firstLine="482"/>
        <w:jc w:val="left"/>
        <w:rPr>
          <w:rFonts w:ascii="宋体" w:hAnsi="宋体" w:eastAsia="宋体" w:cs="宋体"/>
          <w:color w:val="000000" w:themeColor="text1"/>
          <w:sz w:val="24"/>
          <w:lang w:val="en"/>
          <w14:textFill>
            <w14:solidFill>
              <w14:schemeClr w14:val="tx1"/>
            </w14:solidFill>
          </w14:textFill>
        </w:rPr>
      </w:pPr>
      <w:bookmarkStart w:id="21" w:name="_Toc313893526"/>
      <w:bookmarkStart w:id="22" w:name="_Toc19154"/>
      <w:bookmarkStart w:id="23" w:name="_Toc24359"/>
      <w:bookmarkStart w:id="24" w:name="_Toc6059"/>
      <w:bookmarkStart w:id="25" w:name="_Toc317775175"/>
      <w:bookmarkStart w:id="26" w:name="_Toc14903"/>
      <w:bookmarkStart w:id="27" w:name="_Toc24034"/>
      <w:bookmarkStart w:id="28" w:name="_Toc20976"/>
      <w:bookmarkStart w:id="29" w:name="_Toc27587"/>
      <w:bookmarkStart w:id="30" w:name="_Toc14760"/>
      <w:bookmarkStart w:id="31" w:name="_Toc22907"/>
      <w:bookmarkStart w:id="32" w:name="_Toc19701"/>
      <w:bookmarkStart w:id="33" w:name="_Toc13945"/>
      <w:bookmarkStart w:id="34" w:name="_Toc154503349"/>
      <w:bookmarkStart w:id="35" w:name="_Toc76462317"/>
      <w:bookmarkStart w:id="36" w:name="_Toc668"/>
      <w:bookmarkStart w:id="37" w:name="_Toc23096"/>
      <w:bookmarkStart w:id="38" w:name="_Toc150169337"/>
      <w:bookmarkStart w:id="39" w:name="_Toc12661"/>
      <w:bookmarkStart w:id="40" w:name="_Toc18535"/>
      <w:bookmarkStart w:id="41" w:name="_Toc19218"/>
      <w:r>
        <w:rPr>
          <w:rFonts w:hint="eastAsia" w:ascii="宋体" w:hAnsi="宋体" w:eastAsia="宋体" w:cs="宋体"/>
          <w:color w:val="000000" w:themeColor="text1"/>
          <w:sz w:val="24"/>
          <w14:textFill>
            <w14:solidFill>
              <w14:schemeClr w14:val="tx1"/>
            </w14:solidFill>
          </w14:textFill>
        </w:rPr>
        <w:t>一、竞争性磋商内容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92"/>
        <w:gridCol w:w="1276"/>
        <w:gridCol w:w="141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项目名称</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单位</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最高限价</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（万元）</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bookmarkStart w:id="42" w:name="_Hlk344477914"/>
            <w:r>
              <w:rPr>
                <w:rFonts w:hint="eastAsia" w:ascii="宋体" w:hAnsi="宋体" w:cs="宋体"/>
                <w:color w:val="000000" w:themeColor="text1"/>
                <w:sz w:val="21"/>
                <w:szCs w:val="21"/>
                <w14:textFill>
                  <w14:solidFill>
                    <w14:schemeClr w14:val="tx1"/>
                  </w14:solidFill>
                </w14:textFill>
              </w:rPr>
              <w:t>成渝铁路江津至隆昌段扩能改造（含重庆都市圈铁路西环线永川至江津段）预可行性研究</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1项</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198</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其他未列明行业</w:t>
            </w:r>
          </w:p>
        </w:tc>
      </w:tr>
      <w:bookmarkEnd w:id="42"/>
    </w:tbl>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3" w:name="_Toc18800"/>
      <w:bookmarkStart w:id="44" w:name="_Toc25097"/>
      <w:bookmarkStart w:id="45" w:name="_Toc150169338"/>
      <w:bookmarkStart w:id="46" w:name="_Toc9682"/>
      <w:bookmarkStart w:id="47" w:name="_Toc76462318"/>
      <w:bookmarkStart w:id="48" w:name="_Toc29850"/>
      <w:bookmarkStart w:id="49" w:name="_Toc14168"/>
      <w:bookmarkStart w:id="50" w:name="_Toc10518"/>
      <w:bookmarkStart w:id="51" w:name="_Toc154503350"/>
      <w:bookmarkStart w:id="52" w:name="_Toc31191"/>
      <w:bookmarkStart w:id="53" w:name="_Toc29488"/>
      <w:bookmarkStart w:id="54" w:name="_Toc32357"/>
      <w:bookmarkStart w:id="55" w:name="_Toc28859"/>
      <w:bookmarkStart w:id="56" w:name="_Toc16915"/>
      <w:bookmarkStart w:id="57" w:name="_Toc8515"/>
      <w:bookmarkStart w:id="58" w:name="_Toc20737"/>
      <w:bookmarkStart w:id="59" w:name="_Toc19770"/>
      <w:bookmarkStart w:id="60" w:name="_Toc19968"/>
      <w:bookmarkStart w:id="61" w:name="_Toc16022"/>
      <w:bookmarkStart w:id="62" w:name="_Toc373860293"/>
      <w:bookmarkStart w:id="63" w:name="_Toc317775178"/>
      <w:r>
        <w:rPr>
          <w:rFonts w:hint="eastAsia" w:ascii="宋体" w:hAnsi="宋体" w:eastAsia="宋体" w:cs="宋体"/>
          <w:color w:val="000000" w:themeColor="text1"/>
          <w:sz w:val="24"/>
          <w14:textFill>
            <w14:solidFill>
              <w14:schemeClr w14:val="tx1"/>
            </w14:solidFill>
          </w14:textFill>
        </w:rPr>
        <w:t>二、资金来源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财政预算资金，预算金额为198万元。</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4" w:name="_Toc150169339"/>
      <w:bookmarkStart w:id="65" w:name="_Toc76462319"/>
      <w:bookmarkStart w:id="66" w:name="_Toc27816"/>
      <w:bookmarkStart w:id="67" w:name="_Toc9079"/>
      <w:bookmarkStart w:id="68" w:name="_Toc27605"/>
      <w:bookmarkStart w:id="69" w:name="_Toc23573"/>
      <w:bookmarkStart w:id="70" w:name="_Toc20780"/>
      <w:bookmarkStart w:id="71" w:name="_Toc20808"/>
      <w:bookmarkStart w:id="72" w:name="_Toc20573"/>
      <w:bookmarkStart w:id="73" w:name="_Toc7598"/>
      <w:bookmarkStart w:id="74" w:name="_Toc16489"/>
      <w:bookmarkStart w:id="75" w:name="_Toc14730"/>
      <w:bookmarkStart w:id="76" w:name="_Toc1030"/>
      <w:bookmarkStart w:id="77" w:name="_Toc1179"/>
      <w:bookmarkStart w:id="78" w:name="_Toc12919"/>
      <w:bookmarkStart w:id="79" w:name="_Toc29387"/>
      <w:bookmarkStart w:id="80" w:name="_Toc15787"/>
      <w:bookmarkStart w:id="81" w:name="_Toc154503351"/>
      <w:bookmarkStart w:id="82" w:name="_Toc8852"/>
      <w:r>
        <w:rPr>
          <w:rFonts w:hint="eastAsia" w:ascii="宋体" w:hAnsi="宋体" w:eastAsia="宋体" w:cs="宋体"/>
          <w:color w:val="000000" w:themeColor="text1"/>
          <w:sz w:val="24"/>
          <w14:textFill>
            <w14:solidFill>
              <w14:schemeClr w14:val="tx1"/>
            </w14:solidFill>
          </w14:textFill>
        </w:rPr>
        <w:t>三、供应商资格条件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（三）本项目的特定资格要求：无</w:t>
      </w:r>
      <w:r>
        <w:rPr>
          <w:rFonts w:hint="eastAsia" w:ascii="宋体" w:hAnsi="宋体"/>
          <w:color w:val="000000" w:themeColor="text1"/>
          <w:sz w:val="24"/>
          <w:szCs w:val="24"/>
          <w14:textFill>
            <w14:solidFill>
              <w14:schemeClr w14:val="tx1"/>
            </w14:solidFill>
          </w14:textFill>
        </w:rPr>
        <w:t>。</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83" w:name="_Toc15731"/>
      <w:bookmarkStart w:id="84" w:name="_Toc8419"/>
      <w:bookmarkStart w:id="85" w:name="_Toc6449"/>
      <w:bookmarkStart w:id="86" w:name="_Toc16247"/>
      <w:bookmarkStart w:id="87" w:name="_Toc28819"/>
      <w:bookmarkStart w:id="88" w:name="_Toc11425"/>
      <w:bookmarkStart w:id="89" w:name="_Toc7680"/>
      <w:bookmarkStart w:id="90" w:name="_Toc25732"/>
      <w:bookmarkStart w:id="91" w:name="_Toc26038"/>
      <w:bookmarkStart w:id="92" w:name="_Toc76462320"/>
      <w:bookmarkStart w:id="93" w:name="_Toc30707"/>
      <w:bookmarkStart w:id="94" w:name="_Toc150169340"/>
      <w:bookmarkStart w:id="95" w:name="_Toc6183"/>
      <w:bookmarkStart w:id="96" w:name="_Toc18527"/>
      <w:bookmarkStart w:id="97" w:name="_Toc29027"/>
      <w:bookmarkStart w:id="98" w:name="_Toc8282"/>
      <w:bookmarkStart w:id="99" w:name="_Toc154503352"/>
      <w:bookmarkStart w:id="100" w:name="_Toc9243"/>
      <w:bookmarkStart w:id="101" w:name="_Toc14839"/>
      <w:r>
        <w:rPr>
          <w:rFonts w:hint="eastAsia" w:ascii="宋体" w:hAnsi="宋体" w:eastAsia="宋体" w:cs="宋体"/>
          <w:color w:val="000000" w:themeColor="text1"/>
          <w:sz w:val="24"/>
          <w14:textFill>
            <w14:solidFill>
              <w14:schemeClr w14:val="tx1"/>
            </w14:solidFill>
          </w14:textFill>
        </w:rPr>
        <w:t>四、磋商有关说明</w:t>
      </w:r>
      <w:bookmarkEnd w:id="6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（一）供应商应通过重庆市政府采购网（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szCs w:val="24"/>
          <w14:textFill>
            <w14:solidFill>
              <w14:schemeClr w14:val="tx1"/>
            </w14:solidFill>
          </w14:textFill>
        </w:rPr>
        <w:t>www.ccgp-chongqing.gov.cn</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）登记加入“重庆市政府采购供应商库”。</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凡有意参加磋商的供应商，请在重庆市政府采购网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（三）竞争性磋商公告期限：自采购公告发布之日起三个工作日。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（四）竞争性磋商文件发售期限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1.竞争性磋商文件发售期：自采购公告发布之日起五个工作日。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2.报名方式：无需报名。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（五）递交响应文件地点：重庆市公共资源交易中心（地址：重庆市渝北区青枫北路6号渝兴广场B9栋6楼）</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（六）响应文件递交截止时间：2024年9月26日北京时间10:00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（七）磋商开始时间：2024年9月26日北京时间10:00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（八）磋商地点：重庆市公共资源交易中心（地址：重庆市渝北区青枫北路6号渝兴广场B9栋7楼）</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02" w:name="_Toc373860294"/>
      <w:bookmarkStart w:id="103" w:name="_Toc10872"/>
      <w:bookmarkStart w:id="104" w:name="_Toc14887"/>
      <w:bookmarkStart w:id="105" w:name="_Toc150169341"/>
      <w:bookmarkStart w:id="106" w:name="_Toc18449"/>
      <w:bookmarkStart w:id="107" w:name="_Toc23097"/>
      <w:bookmarkStart w:id="108" w:name="_Toc25920"/>
      <w:bookmarkStart w:id="109" w:name="_Toc154503353"/>
      <w:bookmarkStart w:id="110" w:name="_Toc19439"/>
      <w:bookmarkStart w:id="111" w:name="_Toc4997"/>
      <w:bookmarkStart w:id="112" w:name="_Toc8618"/>
      <w:bookmarkStart w:id="113" w:name="_Toc76462321"/>
      <w:bookmarkStart w:id="114" w:name="_Toc13195"/>
      <w:bookmarkStart w:id="115" w:name="_Toc2567"/>
      <w:bookmarkStart w:id="116" w:name="_Toc9958"/>
      <w:bookmarkStart w:id="117" w:name="_Toc23651"/>
      <w:bookmarkStart w:id="118" w:name="_Toc24139"/>
      <w:bookmarkStart w:id="119" w:name="_Toc27924"/>
      <w:bookmarkStart w:id="120" w:name="_Toc28153"/>
      <w:bookmarkStart w:id="121" w:name="_Toc29092"/>
      <w:r>
        <w:rPr>
          <w:rFonts w:hint="eastAsia" w:ascii="宋体" w:hAnsi="宋体" w:eastAsia="宋体" w:cs="宋体"/>
          <w:color w:val="000000" w:themeColor="text1"/>
          <w:sz w:val="24"/>
          <w14:textFill>
            <w14:solidFill>
              <w14:schemeClr w14:val="tx1"/>
            </w14:solidFill>
          </w14:textFill>
        </w:rPr>
        <w:t>五、</w:t>
      </w:r>
      <w:bookmarkEnd w:id="63"/>
      <w:bookmarkEnd w:id="102"/>
      <w:bookmarkStart w:id="122" w:name="_Toc480466698"/>
      <w:bookmarkStart w:id="123" w:name="_Toc479668114"/>
      <w:r>
        <w:rPr>
          <w:rFonts w:hint="eastAsia" w:ascii="宋体" w:hAnsi="宋体" w:eastAsia="宋体" w:cs="宋体"/>
          <w:color w:val="000000" w:themeColor="text1"/>
          <w:sz w:val="24"/>
          <w14:textFill>
            <w14:solidFill>
              <w14:schemeClr w14:val="tx1"/>
            </w14:solidFill>
          </w14:textFill>
        </w:rPr>
        <w:t>采购项目需落实的政府采购政策</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（三）按照《财政部、司法部关于政府采购支持监狱企业发展有关问题的通知》（财库〔2014〕68号）的规定，落实支持监狱企业发展政策。监狱企业视同小型、微型企业。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（四）按照《三部门联合发布关于促进残疾人就业政府采购政策的通知》（财库〔2017〕141号）的规定，落实支持残疾人福利性单位发展政策。残疾人福利性单位视同小型、微型企业。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24" w:name="_Toc16001"/>
      <w:bookmarkStart w:id="125" w:name="_Toc4481"/>
      <w:bookmarkStart w:id="126" w:name="_Toc29344"/>
      <w:bookmarkStart w:id="127" w:name="_Toc150169342"/>
      <w:bookmarkStart w:id="128" w:name="_Toc9764"/>
      <w:bookmarkStart w:id="129" w:name="_Toc28028"/>
      <w:bookmarkStart w:id="130" w:name="_Toc12688"/>
      <w:bookmarkStart w:id="131" w:name="_Toc25522"/>
      <w:bookmarkStart w:id="132" w:name="_Toc480466699"/>
      <w:bookmarkStart w:id="133" w:name="_Toc24938"/>
      <w:bookmarkStart w:id="134" w:name="_Toc154503354"/>
      <w:bookmarkStart w:id="135" w:name="_Toc28197"/>
      <w:bookmarkStart w:id="136" w:name="_Toc10765"/>
      <w:bookmarkStart w:id="137" w:name="_Toc14883"/>
      <w:bookmarkStart w:id="138" w:name="_Toc76462322"/>
      <w:bookmarkStart w:id="139" w:name="_Toc75"/>
      <w:bookmarkStart w:id="140" w:name="_Toc6873"/>
      <w:bookmarkStart w:id="141" w:name="_Toc18128"/>
      <w:bookmarkStart w:id="142" w:name="_Toc30786"/>
      <w:bookmarkStart w:id="143" w:name="_Toc10761"/>
      <w:r>
        <w:rPr>
          <w:rFonts w:hint="eastAsia" w:ascii="宋体" w:hAnsi="宋体" w:eastAsia="宋体" w:cs="宋体"/>
          <w:color w:val="000000" w:themeColor="text1"/>
          <w:sz w:val="24"/>
          <w14:textFill>
            <w14:solidFill>
              <w14:schemeClr w14:val="tx1"/>
            </w14:solidFill>
          </w14:textFill>
        </w:rPr>
        <w:t>六、其它有关规定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澄清文件（如果有）一律在重庆市政府采购网（www.ccgp-chongqing.gov.cn）上发布，请各供应商注意下载或到重庆市政府采购中心领取；无论供应商下载或领取与否，均视同供应商已知晓本项目澄清文件（如果有）的内容。</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pPr>
        <w:snapToGrid w:val="0"/>
        <w:spacing w:line="400" w:lineRule="exact"/>
        <w:ind w:firstLine="361" w:firstLineChars="1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（六）本项目不接受联合体参与磋商，否则按无效处理。</w:t>
      </w:r>
    </w:p>
    <w:p>
      <w:pPr>
        <w:snapToGrid w:val="0"/>
        <w:spacing w:line="400" w:lineRule="exact"/>
        <w:ind w:firstLine="361" w:firstLineChars="1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（七）本项目不接受合同分包，否则按无效处理。</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bookmarkStart w:id="144" w:name="_Toc480466700"/>
      <w:r>
        <w:rPr>
          <w:rFonts w:hint="eastAsia" w:ascii="宋体" w:hAnsi="宋体" w:cs="宋体"/>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45" w:name="_Toc13570"/>
      <w:bookmarkStart w:id="146" w:name="_Toc150169343"/>
      <w:bookmarkStart w:id="147" w:name="_Toc31163"/>
      <w:bookmarkStart w:id="148" w:name="_Toc11680"/>
      <w:bookmarkStart w:id="149" w:name="_Toc1156"/>
      <w:bookmarkStart w:id="150" w:name="_Toc27678"/>
      <w:bookmarkStart w:id="151" w:name="_Toc4784"/>
      <w:bookmarkStart w:id="152" w:name="_Toc17356"/>
      <w:bookmarkStart w:id="153" w:name="_Toc3773"/>
      <w:bookmarkStart w:id="154" w:name="_Toc4145"/>
      <w:bookmarkStart w:id="155" w:name="_Toc76462323"/>
      <w:bookmarkStart w:id="156" w:name="_Toc24570"/>
      <w:bookmarkStart w:id="157" w:name="_Toc11014"/>
      <w:bookmarkStart w:id="158" w:name="_Toc154503355"/>
      <w:bookmarkStart w:id="159" w:name="_Toc19395"/>
      <w:bookmarkStart w:id="160" w:name="_Toc11457"/>
      <w:bookmarkStart w:id="161" w:name="_Toc21079"/>
      <w:bookmarkStart w:id="162" w:name="_Toc17207"/>
      <w:bookmarkStart w:id="163" w:name="_Toc9385"/>
      <w:r>
        <w:rPr>
          <w:rFonts w:hint="eastAsia" w:ascii="宋体" w:hAnsi="宋体" w:eastAsia="宋体" w:cs="宋体"/>
          <w:color w:val="000000" w:themeColor="text1"/>
          <w:sz w:val="24"/>
          <w14:textFill>
            <w14:solidFill>
              <w14:schemeClr w14:val="tx1"/>
            </w14:solidFill>
          </w14:textFill>
        </w:rPr>
        <w:t>七、联系方式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（一）采购人：重庆市发展和改革委员会</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联系人：杨涛</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话：023-67576295</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ascii="宋体" w:hAnsi="宋体" w:cs="宋体"/>
          <w:color w:val="000000" w:themeColor="text1"/>
          <w:sz w:val="24"/>
          <w:szCs w:val="24"/>
          <w14:textFill>
            <w14:solidFill>
              <w14:schemeClr w14:val="tx1"/>
            </w14:solidFill>
          </w14:textFill>
        </w:rPr>
        <w:t>重庆市渝北区洪湖西路16号</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（二）采购代理机构：重庆市政府采购中心</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联系人：吴荐 彭晓玲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话：023-67118096</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址：重庆市江北区五简路2号重庆咨询大厦B座502室</w:t>
      </w: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sectPr>
          <w:footerReference r:id="rId9" w:type="default"/>
          <w:pgSz w:w="11907" w:h="16840"/>
          <w:pgMar w:top="1134" w:right="1418" w:bottom="1134" w:left="1418" w:header="964" w:footer="992" w:gutter="0"/>
          <w:pgNumType w:fmt="numberInDash" w:start="1"/>
          <w:cols w:space="720" w:num="1"/>
          <w:docGrid w:linePitch="312" w:charSpace="0"/>
        </w:sectPr>
      </w:pPr>
    </w:p>
    <w:p>
      <w:pPr>
        <w:pStyle w:val="2"/>
        <w:tabs>
          <w:tab w:val="left" w:pos="3360"/>
        </w:tabs>
        <w:ind w:firstLine="723"/>
        <w:rPr>
          <w:rFonts w:cs="宋体"/>
          <w:bCs/>
          <w:color w:val="000000" w:themeColor="text1"/>
          <w:szCs w:val="36"/>
          <w14:textFill>
            <w14:solidFill>
              <w14:schemeClr w14:val="tx1"/>
            </w14:solidFill>
          </w14:textFill>
        </w:rPr>
      </w:pPr>
      <w:bookmarkStart w:id="164" w:name="_Toc2929"/>
      <w:bookmarkStart w:id="165" w:name="_Toc4179"/>
      <w:bookmarkStart w:id="166" w:name="_Toc14364"/>
      <w:bookmarkStart w:id="167" w:name="_Toc19283"/>
      <w:bookmarkStart w:id="168" w:name="_Toc10794"/>
      <w:bookmarkStart w:id="169" w:name="_Toc13833"/>
      <w:bookmarkStart w:id="170" w:name="_Toc27254"/>
      <w:bookmarkStart w:id="171" w:name="_Toc25352"/>
      <w:bookmarkStart w:id="172" w:name="_Toc76462324"/>
      <w:bookmarkStart w:id="173" w:name="_Toc20272"/>
      <w:bookmarkStart w:id="174" w:name="_Toc27402"/>
      <w:bookmarkStart w:id="175" w:name="_Toc9509"/>
      <w:bookmarkStart w:id="176" w:name="_Toc150169344"/>
      <w:bookmarkStart w:id="177" w:name="_Toc154503356"/>
      <w:bookmarkStart w:id="178" w:name="_Toc3034"/>
      <w:bookmarkStart w:id="179" w:name="_Toc30428"/>
      <w:bookmarkStart w:id="180" w:name="_Toc32229"/>
      <w:bookmarkStart w:id="181" w:name="_Toc5060"/>
      <w:bookmarkStart w:id="182" w:name="_Toc11868"/>
      <w:r>
        <w:rPr>
          <w:rFonts w:hint="eastAsia" w:cs="宋体"/>
          <w:bCs/>
          <w:color w:val="000000" w:themeColor="text1"/>
          <w:szCs w:val="36"/>
          <w14:textFill>
            <w14:solidFill>
              <w14:schemeClr w14:val="tx1"/>
            </w14:solidFill>
          </w14:textFill>
        </w:rPr>
        <w:t>第二篇  项目服务需求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bookmarkStart w:id="183" w:name="_Toc76462325"/>
      <w:bookmarkStart w:id="184" w:name="_Toc12789058"/>
      <w:r>
        <w:rPr>
          <w:rFonts w:hint="eastAsia" w:ascii="宋体" w:hAnsi="宋体" w:cs="宋体"/>
          <w:color w:val="000000" w:themeColor="text1"/>
          <w:sz w:val="24"/>
          <w:szCs w:val="24"/>
          <w14:textFill>
            <w14:solidFill>
              <w14:schemeClr w14:val="tx1"/>
            </w14:solidFill>
          </w14:textFill>
        </w:rPr>
        <w:t>“※”标注的服务需求为符合性审查中的实质性要求，响应文件若不满足按无效响应处理。</w:t>
      </w:r>
    </w:p>
    <w:bookmarkEnd w:id="183"/>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5" w:name="_Toc154503357"/>
      <w:bookmarkStart w:id="186" w:name="_Toc150169345"/>
      <w:r>
        <w:rPr>
          <w:rFonts w:hint="eastAsia" w:ascii="宋体" w:hAnsi="宋体" w:eastAsia="宋体" w:cs="宋体"/>
          <w:color w:val="000000" w:themeColor="text1"/>
          <w:sz w:val="24"/>
          <w14:textFill>
            <w14:solidFill>
              <w14:schemeClr w14:val="tx1"/>
            </w14:solidFill>
          </w14:textFill>
        </w:rPr>
        <w:t>一、服务范围</w:t>
      </w:r>
      <w:bookmarkEnd w:id="185"/>
      <w:bookmarkEnd w:id="18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成渝铁路江津至隆昌段扩能改造（含重庆都市圈铁路西环线永川至江津段）预可行性研究。</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7" w:name="_Toc154503358"/>
      <w:bookmarkStart w:id="188" w:name="_Toc150169346"/>
      <w:r>
        <w:rPr>
          <w:rFonts w:hint="eastAsia" w:ascii="宋体" w:hAnsi="宋体" w:cs="宋体"/>
          <w:b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二、服务要求</w:t>
      </w:r>
      <w:bookmarkEnd w:id="187"/>
      <w:bookmarkEnd w:id="188"/>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编制完成成渝铁路江津至隆昌段扩能改造（含重庆都市圈铁路西环线永川至江津段）预可行性研究报告。</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9" w:name="_Toc150169347"/>
      <w:bookmarkStart w:id="190" w:name="_Toc154503359"/>
      <w:r>
        <w:rPr>
          <w:rFonts w:hint="eastAsia" w:ascii="宋体" w:hAnsi="宋体" w:eastAsia="宋体" w:cs="宋体"/>
          <w:color w:val="000000" w:themeColor="text1"/>
          <w:sz w:val="24"/>
          <w14:textFill>
            <w14:solidFill>
              <w14:schemeClr w14:val="tx1"/>
            </w14:solidFill>
          </w14:textFill>
        </w:rPr>
        <w:t>三、服务标准</w:t>
      </w:r>
      <w:bookmarkEnd w:id="189"/>
      <w:bookmarkEnd w:id="190"/>
    </w:p>
    <w:p>
      <w:pPr>
        <w:snapToGrid w:val="0"/>
        <w:spacing w:line="4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报告成果应符合《铁路建设项目预可行性研究、可行性研究和设计文件编制办法》（</w:t>
      </w:r>
      <w:bookmarkStart w:id="191" w:name="OLE_LINK5"/>
      <w:bookmarkStart w:id="192" w:name="OLE_LINK4"/>
      <w:bookmarkStart w:id="193" w:name="OLE_LINK9"/>
      <w:bookmarkStart w:id="194" w:name="OLE_LINK3"/>
      <w:bookmarkStart w:id="195" w:name="OLE_LINK10"/>
      <w:bookmarkStart w:id="196" w:name="OLE_LINK6"/>
      <w:r>
        <w:rPr>
          <w:rFonts w:hint="eastAsia" w:ascii="宋体" w:hAnsi="宋体" w:cs="宋体"/>
          <w:color w:val="000000" w:themeColor="text1"/>
          <w:sz w:val="24"/>
          <w:szCs w:val="24"/>
          <w14:textFill>
            <w14:solidFill>
              <w14:schemeClr w14:val="tx1"/>
            </w14:solidFill>
          </w14:textFill>
        </w:rPr>
        <w:t>TB10504-20</w:t>
      </w:r>
      <w:bookmarkEnd w:id="191"/>
      <w:bookmarkEnd w:id="192"/>
      <w:bookmarkEnd w:id="193"/>
      <w:bookmarkEnd w:id="194"/>
      <w:bookmarkEnd w:id="195"/>
      <w:bookmarkEnd w:id="196"/>
      <w:r>
        <w:rPr>
          <w:rFonts w:hint="eastAsia" w:ascii="宋体" w:hAnsi="宋体" w:cs="宋体"/>
          <w:color w:val="000000" w:themeColor="text1"/>
          <w:sz w:val="24"/>
          <w:szCs w:val="24"/>
          <w14:textFill>
            <w14:solidFill>
              <w14:schemeClr w14:val="tx1"/>
            </w14:solidFill>
          </w14:textFill>
        </w:rPr>
        <w:t>18）等现行国家及地方铁路相关规定内容及深度的要求。</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四、服务及质量需求</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包含但不限于以下内容：重点研究该项目在路网中的意义和作用，对沿线地区国民经济发展的意义；开展设计线路的客货运量调查，预测项目客货运需求及设计能力；研究邻接铁路的能力制约及加强措施，外部协作条件及相关工程；提出项目扩能改造的线路走向、接轨方案、主要技术标准；研究项目的建设年限、投资估算，资金筹措方案与经济评价。</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（二）供应商成交后须在重庆市设立常驻服务机构负责预可行性研究报告编制的协调联系工作，以利于报告编制工作推进及持续服务。 </w:t>
      </w:r>
    </w:p>
    <w:p>
      <w:pPr>
        <w:pStyle w:val="2"/>
        <w:tabs>
          <w:tab w:val="left" w:pos="3360"/>
        </w:tabs>
        <w:ind w:firstLine="723"/>
        <w:rPr>
          <w:rFonts w:cs="宋体"/>
          <w:bCs/>
          <w:color w:val="000000" w:themeColor="text1"/>
          <w:szCs w:val="36"/>
          <w14:textFill>
            <w14:solidFill>
              <w14:schemeClr w14:val="tx1"/>
            </w14:solidFill>
          </w14:textFill>
        </w:rPr>
      </w:pPr>
      <w:bookmarkStart w:id="197" w:name="_Toc9547"/>
      <w:bookmarkStart w:id="198" w:name="_Toc31987"/>
      <w:bookmarkStart w:id="199" w:name="_Toc11109"/>
      <w:bookmarkStart w:id="200" w:name="_Toc76462327"/>
      <w:bookmarkStart w:id="201" w:name="_Toc21581"/>
      <w:bookmarkStart w:id="202" w:name="_Toc4737"/>
      <w:bookmarkStart w:id="203" w:name="_Toc819"/>
      <w:bookmarkStart w:id="204" w:name="_Toc2477"/>
      <w:bookmarkStart w:id="205" w:name="_Toc24768"/>
      <w:bookmarkStart w:id="206" w:name="_Toc6692"/>
      <w:bookmarkStart w:id="207" w:name="_Toc16401"/>
      <w:bookmarkStart w:id="208" w:name="_Toc21295"/>
      <w:bookmarkStart w:id="209" w:name="_Toc26873"/>
      <w:bookmarkStart w:id="210" w:name="_Toc31792"/>
      <w:bookmarkStart w:id="211" w:name="_Toc25336"/>
      <w:bookmarkStart w:id="212" w:name="_Toc12898"/>
      <w:bookmarkStart w:id="213" w:name="_Toc17204"/>
      <w:r>
        <w:rPr>
          <w:rFonts w:cs="宋体"/>
          <w:bCs/>
          <w:color w:val="000000" w:themeColor="text1"/>
          <w:szCs w:val="36"/>
          <w14:textFill>
            <w14:solidFill>
              <w14:schemeClr w14:val="tx1"/>
            </w14:solidFill>
          </w14:textFill>
        </w:rPr>
        <w:br w:type="page"/>
      </w:r>
      <w:bookmarkStart w:id="214" w:name="_Toc154503360"/>
      <w:bookmarkStart w:id="215" w:name="_Toc150169348"/>
      <w:r>
        <w:rPr>
          <w:rFonts w:hint="eastAsia" w:cs="宋体"/>
          <w:bCs/>
          <w:color w:val="000000" w:themeColor="text1"/>
          <w:szCs w:val="36"/>
          <w14:textFill>
            <w14:solidFill>
              <w14:schemeClr w14:val="tx1"/>
            </w14:solidFill>
          </w14:textFill>
        </w:rPr>
        <w:t xml:space="preserve">第三篇  </w:t>
      </w:r>
      <w:bookmarkEnd w:id="184"/>
      <w:r>
        <w:rPr>
          <w:rFonts w:hint="eastAsia" w:cs="宋体"/>
          <w:bCs/>
          <w:color w:val="000000" w:themeColor="text1"/>
          <w:szCs w:val="36"/>
          <w14:textFill>
            <w14:solidFill>
              <w14:schemeClr w14:val="tx1"/>
            </w14:solidFill>
          </w14:textFill>
        </w:rPr>
        <w:t>项目商务需求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16" w:name="_Toc3267"/>
      <w:bookmarkStart w:id="217" w:name="_Toc4124"/>
      <w:bookmarkStart w:id="218" w:name="_Toc31872"/>
      <w:bookmarkStart w:id="219" w:name="_Toc20876"/>
      <w:bookmarkStart w:id="220" w:name="_Toc2575"/>
      <w:bookmarkStart w:id="221" w:name="_Toc344475120"/>
      <w:bookmarkStart w:id="222" w:name="_Toc76462328"/>
      <w:bookmarkStart w:id="223" w:name="_Toc20769"/>
      <w:bookmarkStart w:id="224" w:name="_Toc1618"/>
      <w:bookmarkStart w:id="225" w:name="_Toc22142"/>
      <w:bookmarkStart w:id="226" w:name="_Toc17637"/>
      <w:bookmarkStart w:id="227" w:name="_Toc11843"/>
      <w:bookmarkStart w:id="228" w:name="_Toc1269"/>
      <w:bookmarkStart w:id="229" w:name="_Toc3986"/>
      <w:bookmarkStart w:id="230" w:name="_Toc26892"/>
      <w:bookmarkStart w:id="231" w:name="_Toc22712"/>
      <w:bookmarkStart w:id="232" w:name="_Toc31683"/>
      <w:bookmarkStart w:id="233" w:name="_Toc15948"/>
      <w:r>
        <w:rPr>
          <w:rFonts w:hint="eastAsia" w:ascii="宋体" w:hAnsi="宋体" w:cs="宋体"/>
          <w:color w:val="000000" w:themeColor="text1"/>
          <w:sz w:val="24"/>
          <w:szCs w:val="24"/>
          <w14:textFill>
            <w14:solidFill>
              <w14:schemeClr w14:val="tx1"/>
            </w14:solidFill>
          </w14:textFill>
        </w:rPr>
        <w:t>“※”标注的商务需求为符合性审查中的实质性要求，响应文件若不满足按无效响应处理。</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34" w:name="_Toc150169349"/>
      <w:bookmarkStart w:id="235" w:name="_Toc154503361"/>
      <w:r>
        <w:rPr>
          <w:rFonts w:hint="eastAsia" w:ascii="宋体" w:hAnsi="宋体" w:eastAsia="宋体" w:cs="宋体"/>
          <w:color w:val="000000" w:themeColor="text1"/>
          <w:sz w:val="24"/>
          <w14:textFill>
            <w14:solidFill>
              <w14:schemeClr w14:val="tx1"/>
            </w14:solidFill>
          </w14:textFill>
        </w:rPr>
        <w:t>一、实施时间和实施地点</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※（一）实施时间：自采购合同签订后90个日历日内向采购人提交报告初稿；通过采购人组织的专家审查、专家提出审查意见后30个日历日内完成对成果文件初稿的修改和完善，并提交最终成果文件。</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（二）实施地点：重庆市发展和改革委员会（采购人指定地点）。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36" w:name="_Toc344475121"/>
      <w:bookmarkStart w:id="237" w:name="_Toc76462329"/>
      <w:bookmarkStart w:id="238" w:name="_Toc31789"/>
      <w:bookmarkStart w:id="239" w:name="_Toc26379"/>
      <w:bookmarkStart w:id="240" w:name="_Toc31971"/>
      <w:bookmarkStart w:id="241" w:name="_Toc18755"/>
      <w:bookmarkStart w:id="242" w:name="_Toc4880"/>
      <w:bookmarkStart w:id="243" w:name="_Toc930"/>
      <w:bookmarkStart w:id="244" w:name="_Toc22390"/>
      <w:bookmarkStart w:id="245" w:name="_Toc28247"/>
      <w:bookmarkStart w:id="246" w:name="_Toc150169350"/>
      <w:bookmarkStart w:id="247" w:name="_Toc10826"/>
      <w:bookmarkStart w:id="248" w:name="_Toc30818"/>
      <w:bookmarkStart w:id="249" w:name="_Toc20024"/>
      <w:bookmarkStart w:id="250" w:name="_Toc6965"/>
      <w:bookmarkStart w:id="251" w:name="_Toc17826"/>
      <w:bookmarkStart w:id="252" w:name="_Toc6255"/>
      <w:bookmarkStart w:id="253" w:name="_Toc154503362"/>
      <w:bookmarkStart w:id="254" w:name="_Toc1251"/>
      <w:bookmarkStart w:id="255" w:name="_Toc1074"/>
      <w:r>
        <w:rPr>
          <w:rFonts w:hint="eastAsia" w:ascii="宋体" w:hAnsi="宋体" w:eastAsia="宋体" w:cs="宋体"/>
          <w:color w:val="000000" w:themeColor="text1"/>
          <w:sz w:val="24"/>
          <w14:textFill>
            <w14:solidFill>
              <w14:schemeClr w14:val="tx1"/>
            </w14:solidFill>
          </w14:textFill>
        </w:rPr>
        <w:t>二、</w:t>
      </w:r>
      <w:bookmarkEnd w:id="236"/>
      <w:r>
        <w:rPr>
          <w:rFonts w:hint="eastAsia" w:ascii="宋体" w:hAnsi="宋体" w:eastAsia="宋体" w:cs="宋体"/>
          <w:color w:val="000000" w:themeColor="text1"/>
          <w:sz w:val="24"/>
          <w14:textFill>
            <w14:solidFill>
              <w14:schemeClr w14:val="tx1"/>
            </w14:solidFill>
          </w14:textFill>
        </w:rPr>
        <w:t>报价要求</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为履约完成本项目的总价，包括人员劳务费、研究费、会议及差旅费、调研费、专家咨询费、资料信息费、管理费、利润、税金等完成本项目所需要的一切费用。因成交供应商自身原因造成漏报、少报皆由其自行承担责任，采购人不再补偿。</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56" w:name="_Toc150169351"/>
      <w:bookmarkStart w:id="257" w:name="_Toc6728"/>
      <w:bookmarkStart w:id="258" w:name="_Toc12226"/>
      <w:bookmarkStart w:id="259" w:name="_Toc20702"/>
      <w:bookmarkStart w:id="260" w:name="_Toc4333"/>
      <w:bookmarkStart w:id="261" w:name="_Toc15097"/>
      <w:bookmarkStart w:id="262" w:name="_Toc25172"/>
      <w:bookmarkStart w:id="263" w:name="_Toc24685"/>
      <w:bookmarkStart w:id="264" w:name="_Toc26577"/>
      <w:bookmarkStart w:id="265" w:name="_Toc17597"/>
      <w:bookmarkStart w:id="266" w:name="_Toc12618"/>
      <w:bookmarkStart w:id="267" w:name="_Toc16113"/>
      <w:bookmarkStart w:id="268" w:name="_Toc76462330"/>
      <w:bookmarkStart w:id="269" w:name="_Toc14220"/>
      <w:bookmarkStart w:id="270" w:name="_Toc19119"/>
      <w:bookmarkStart w:id="271" w:name="_Toc344475122"/>
      <w:bookmarkStart w:id="272" w:name="_Toc21449"/>
      <w:bookmarkStart w:id="273" w:name="_Toc26660"/>
      <w:bookmarkStart w:id="274" w:name="_Toc5676"/>
      <w:bookmarkStart w:id="275" w:name="_Toc154503363"/>
      <w:r>
        <w:rPr>
          <w:rFonts w:hint="eastAsia" w:ascii="宋体" w:hAnsi="宋体" w:eastAsia="宋体" w:cs="宋体"/>
          <w:color w:val="000000" w:themeColor="text1"/>
          <w:sz w:val="24"/>
          <w14:textFill>
            <w14:solidFill>
              <w14:schemeClr w14:val="tx1"/>
            </w14:solidFill>
          </w14:textFill>
        </w:rPr>
        <w:t>三、付款方式</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76" w:name="_Toc76462332"/>
      <w:bookmarkStart w:id="277" w:name="_Toc1757"/>
      <w:r>
        <w:rPr>
          <w:rFonts w:hint="eastAsia" w:ascii="宋体" w:hAnsi="宋体" w:cs="宋体"/>
          <w:color w:val="000000" w:themeColor="text1"/>
          <w:sz w:val="24"/>
          <w:szCs w:val="24"/>
          <w14:textFill>
            <w14:solidFill>
              <w14:schemeClr w14:val="tx1"/>
            </w14:solidFill>
          </w14:textFill>
        </w:rPr>
        <w:t>成果交付并通过采购人验收确认后，成交供应商向采购人申请付款并提供发票，采购人将付清全款。</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78" w:name="_Toc154503364"/>
      <w:bookmarkStart w:id="279" w:name="_Toc150169352"/>
      <w:r>
        <w:rPr>
          <w:rFonts w:hint="eastAsia" w:ascii="宋体" w:hAnsi="宋体" w:eastAsia="宋体" w:cs="宋体"/>
          <w:color w:val="000000" w:themeColor="text1"/>
          <w:sz w:val="24"/>
          <w14:textFill>
            <w14:solidFill>
              <w14:schemeClr w14:val="tx1"/>
            </w14:solidFill>
          </w14:textFill>
        </w:rPr>
        <w:t>四、人员配置</w:t>
      </w:r>
      <w:bookmarkEnd w:id="278"/>
      <w:bookmarkEnd w:id="279"/>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（一）供应商须为本项目配置</w:t>
      </w:r>
      <w:r>
        <w:rPr>
          <w:rFonts w:ascii="宋体" w:hAnsi="宋体" w:cs="宋体"/>
          <w:color w:val="000000" w:themeColor="text1"/>
          <w:sz w:val="24"/>
          <w:szCs w:val="24"/>
          <w14:textFill>
            <w14:solidFill>
              <w14:schemeClr w14:val="tx1"/>
            </w14:solidFill>
          </w14:textFill>
        </w:rPr>
        <w:t>1名项目负责人</w:t>
      </w:r>
      <w:r>
        <w:rPr>
          <w:rFonts w:hint="eastAsia" w:ascii="宋体" w:hAnsi="宋体" w:cs="宋体"/>
          <w:color w:val="000000" w:themeColor="text1"/>
          <w:sz w:val="24"/>
          <w:szCs w:val="24"/>
          <w14:textFill>
            <w14:solidFill>
              <w14:schemeClr w14:val="tx1"/>
            </w14:solidFill>
          </w14:textFill>
        </w:rPr>
        <w:t>（提供供应商在</w:t>
      </w:r>
      <w:r>
        <w:rPr>
          <w:rFonts w:ascii="宋体" w:hAnsi="宋体" w:cs="宋体"/>
          <w:color w:val="000000" w:themeColor="text1"/>
          <w:sz w:val="24"/>
          <w:szCs w:val="24"/>
          <w14:textFill>
            <w14:solidFill>
              <w14:schemeClr w14:val="tx1"/>
            </w14:solidFill>
          </w14:textFill>
        </w:rPr>
        <w:t>2024年任一月为该人员购买社保的证明材料复印件）</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（二）供应商拟投入的项目团队人员（不含项目负责人）不得少于5</w:t>
      </w:r>
      <w:r>
        <w:rPr>
          <w:rFonts w:ascii="宋体" w:hAnsi="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14:textFill>
            <w14:solidFill>
              <w14:schemeClr w14:val="tx1"/>
            </w14:solidFill>
          </w14:textFill>
        </w:rPr>
        <w:t>（提供供应商在</w:t>
      </w:r>
      <w:r>
        <w:rPr>
          <w:rFonts w:ascii="宋体" w:hAnsi="宋体" w:cs="宋体"/>
          <w:color w:val="000000" w:themeColor="text1"/>
          <w:sz w:val="24"/>
          <w:szCs w:val="24"/>
          <w14:textFill>
            <w14:solidFill>
              <w14:schemeClr w14:val="tx1"/>
            </w14:solidFill>
          </w14:textFill>
        </w:rPr>
        <w:t>2024年任一月为拟投入人员购买社保的证明材料复印件）</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ind w:firstLine="720"/>
        <w:rPr>
          <w:rFonts w:cs="宋体"/>
          <w:bCs/>
          <w:color w:val="000000" w:themeColor="text1"/>
          <w:szCs w:val="36"/>
          <w14:textFill>
            <w14:solidFill>
              <w14:schemeClr w14:val="tx1"/>
            </w14:solidFill>
          </w14:textFill>
        </w:rPr>
      </w:pPr>
      <w:r>
        <w:rPr>
          <w:rFonts w:hint="eastAsia" w:cs="宋体"/>
          <w:b w:val="0"/>
          <w:color w:val="000000" w:themeColor="text1"/>
          <w:szCs w:val="36"/>
          <w14:textFill>
            <w14:solidFill>
              <w14:schemeClr w14:val="tx1"/>
            </w14:solidFill>
          </w14:textFill>
        </w:rPr>
        <w:br w:type="page"/>
      </w:r>
      <w:bookmarkStart w:id="280" w:name="_Toc12886"/>
      <w:bookmarkStart w:id="281" w:name="_Toc18659"/>
      <w:bookmarkStart w:id="282" w:name="_Toc14622"/>
      <w:bookmarkStart w:id="283" w:name="_Toc3731"/>
      <w:bookmarkStart w:id="284" w:name="_Toc22334"/>
      <w:bookmarkStart w:id="285" w:name="_Toc25419"/>
      <w:bookmarkStart w:id="286" w:name="_Toc150169353"/>
      <w:bookmarkStart w:id="287" w:name="_Toc17261"/>
      <w:bookmarkStart w:id="288" w:name="_Toc31953"/>
      <w:bookmarkStart w:id="289" w:name="_Toc154503365"/>
      <w:bookmarkStart w:id="290" w:name="_Toc22701"/>
      <w:bookmarkStart w:id="291" w:name="_Toc12375"/>
      <w:bookmarkStart w:id="292" w:name="_Toc3907"/>
      <w:bookmarkStart w:id="293" w:name="_Toc6639"/>
      <w:bookmarkStart w:id="294" w:name="_Toc19897"/>
      <w:bookmarkStart w:id="295" w:name="_Toc8579"/>
      <w:bookmarkStart w:id="296" w:name="_Toc15465"/>
      <w:r>
        <w:rPr>
          <w:rFonts w:hint="eastAsia" w:cs="宋体"/>
          <w:bCs/>
          <w:color w:val="000000" w:themeColor="text1"/>
          <w:szCs w:val="36"/>
          <w14:textFill>
            <w14:solidFill>
              <w14:schemeClr w14:val="tx1"/>
            </w14:solidFill>
          </w14:textFill>
        </w:rPr>
        <w:t>第四篇  磋商程序及方法、评审标准、无效响应和采购终止</w:t>
      </w:r>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97" w:name="_Toc150169354"/>
      <w:bookmarkStart w:id="298" w:name="_Toc17588"/>
      <w:bookmarkStart w:id="299" w:name="_Toc21700"/>
      <w:bookmarkStart w:id="300" w:name="_Toc28847"/>
      <w:bookmarkStart w:id="301" w:name="_Toc17660"/>
      <w:bookmarkStart w:id="302" w:name="_Toc9060"/>
      <w:bookmarkStart w:id="303" w:name="_Toc76462333"/>
      <w:bookmarkStart w:id="304" w:name="_Toc29300"/>
      <w:bookmarkStart w:id="305" w:name="_Toc18303"/>
      <w:bookmarkStart w:id="306" w:name="_Toc8399"/>
      <w:bookmarkStart w:id="307" w:name="_Toc31489"/>
      <w:bookmarkStart w:id="308" w:name="_Toc9186"/>
      <w:bookmarkStart w:id="309" w:name="_Toc28646"/>
      <w:bookmarkStart w:id="310" w:name="_Toc26178"/>
      <w:bookmarkStart w:id="311" w:name="_Toc6152"/>
      <w:bookmarkStart w:id="312" w:name="_Toc154503366"/>
      <w:bookmarkStart w:id="313" w:name="_Toc1626"/>
      <w:bookmarkStart w:id="314" w:name="_Toc3815"/>
      <w:bookmarkStart w:id="315" w:name="_Toc21602"/>
      <w:r>
        <w:rPr>
          <w:rFonts w:hint="eastAsia" w:ascii="宋体" w:hAnsi="宋体" w:eastAsia="宋体" w:cs="宋体"/>
          <w:color w:val="000000" w:themeColor="text1"/>
          <w:sz w:val="24"/>
          <w14:textFill>
            <w14:solidFill>
              <w14:schemeClr w14:val="tx1"/>
            </w14:solidFill>
          </w14:textFill>
        </w:rPr>
        <w:t>一、磋商程序及方法</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p>
        </w:tc>
        <w:tc>
          <w:tcPr>
            <w:tcW w:w="709" w:type="dxa"/>
            <w:vMerge w:val="restart"/>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《中华人民共和国政府采购法》第二十二条规定</w:t>
            </w: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1.供应商法人营业执照（副本）或事业单位法人证书（副本）或个体工商户营业执照或有效的自然人身份明或社会团体法人登记证书（提供复印件）。 </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984" w:type="dxa"/>
            <w:vMerge w:val="restart"/>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4.有依法缴纳税收和社会保障金的良好记录</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pPr>
              <w:ind w:firstLine="422"/>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984" w:type="dxa"/>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7.本项目的特定资格要求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p>
        </w:tc>
        <w:tc>
          <w:tcPr>
            <w:tcW w:w="3827" w:type="dxa"/>
            <w:gridSpan w:val="2"/>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落实政府采购政策需满足的资格要求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bl>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 </w:t>
      </w:r>
    </w:p>
    <w:p>
      <w:pPr>
        <w:numPr>
          <w:ilvl w:val="0"/>
          <w:numId w:val="12"/>
        </w:num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符合性审查。依据竞争性磋商文件的规定，从响应文件的有效性、完整性和对竞争性磋商文件的响应程度进行审查，以确定是否对竞争性磋商文件的实质性要求作出响应。符合性审查资料表如下：</w:t>
      </w:r>
    </w:p>
    <w:p>
      <w:pPr>
        <w:snapToGrid w:val="0"/>
        <w:spacing w:line="400" w:lineRule="exact"/>
        <w:rPr>
          <w:rFonts w:ascii="宋体" w:hAnsi="宋体" w:cs="宋体"/>
          <w:color w:val="000000" w:themeColor="text1"/>
          <w:kern w:val="0"/>
          <w:sz w:val="24"/>
          <w:szCs w:val="24"/>
          <w14:textFill>
            <w14:solidFill>
              <w14:schemeClr w14:val="tx1"/>
            </w14:solidFill>
          </w14:textFill>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544" w:type="dxa"/>
            <w:gridSpan w:val="2"/>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评审因素</w:t>
            </w:r>
          </w:p>
        </w:tc>
        <w:tc>
          <w:tcPr>
            <w:tcW w:w="5409" w:type="dxa"/>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响应文件签署或盖章</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方案</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每个包只能有一个响应方案。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560"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文件份数</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响应程度审查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实质性响应</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ind w:firstLine="420"/>
              <w:jc w:val="cente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磋商有效期</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响应文件及有关承诺文件有效期为提交响应文件截止时间起90天。</w:t>
            </w:r>
          </w:p>
        </w:tc>
      </w:tr>
    </w:tbl>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（五）在磋商过程中磋商的任何一方不得向他人透露与磋商有关的服务资料、价格或其他信息。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（十）磋商小组各成员独立对每个有效响应（通过资格性审查、</w:t>
      </w:r>
      <w:r>
        <w:rPr>
          <w:rFonts w:hint="eastAsia" w:ascii="宋体" w:hAnsi="宋体" w:cs="宋体"/>
          <w:color w:val="000000" w:themeColor="text1"/>
          <w:kern w:val="0"/>
          <w:sz w:val="24"/>
          <w:szCs w:val="24"/>
          <w14:textFill>
            <w14:solidFill>
              <w14:schemeClr w14:val="tx1"/>
            </w14:solidFill>
          </w14:textFill>
        </w:rPr>
        <w:t>符合性审查的供应商</w:t>
      </w:r>
      <w:r>
        <w:rPr>
          <w:rFonts w:hint="eastAsia" w:ascii="宋体" w:hAnsi="宋体" w:cs="宋体"/>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16" w:name="_Toc14050"/>
      <w:bookmarkStart w:id="317" w:name="_Toc31749"/>
      <w:bookmarkStart w:id="318" w:name="_Toc30683"/>
      <w:bookmarkStart w:id="319" w:name="_Toc14176"/>
      <w:bookmarkStart w:id="320" w:name="_Toc7578"/>
      <w:bookmarkStart w:id="321" w:name="_Toc8143"/>
      <w:bookmarkStart w:id="322" w:name="_Toc24164"/>
      <w:bookmarkStart w:id="323" w:name="_Toc11351"/>
      <w:bookmarkStart w:id="324" w:name="_Toc6787"/>
      <w:bookmarkStart w:id="325" w:name="_Toc9588"/>
      <w:bookmarkStart w:id="326" w:name="_Toc18112"/>
      <w:bookmarkStart w:id="327" w:name="_Toc9662"/>
      <w:bookmarkStart w:id="328" w:name="_Toc5785"/>
      <w:bookmarkStart w:id="329" w:name="_Toc22999"/>
      <w:bookmarkStart w:id="330" w:name="_Toc12084"/>
      <w:bookmarkStart w:id="331" w:name="_Toc76462334"/>
      <w:bookmarkStart w:id="332" w:name="_Toc150169355"/>
      <w:bookmarkStart w:id="333" w:name="_Toc154503367"/>
      <w:bookmarkStart w:id="334" w:name="_Toc10548"/>
      <w:r>
        <w:rPr>
          <w:rFonts w:hint="eastAsia" w:ascii="宋体" w:hAnsi="宋体" w:eastAsia="宋体" w:cs="宋体"/>
          <w:color w:val="000000" w:themeColor="text1"/>
          <w:sz w:val="24"/>
          <w14:textFill>
            <w14:solidFill>
              <w14:schemeClr w14:val="tx1"/>
            </w14:solidFill>
          </w14:textFill>
        </w:rPr>
        <w:t>二、</w:t>
      </w:r>
      <w:bookmarkStart w:id="335" w:name="_Toc102227320"/>
      <w:bookmarkStart w:id="336" w:name="_Toc342913394"/>
      <w:r>
        <w:rPr>
          <w:rFonts w:hint="eastAsia" w:ascii="宋体" w:hAnsi="宋体" w:eastAsia="宋体" w:cs="宋体"/>
          <w:color w:val="000000" w:themeColor="text1"/>
          <w:sz w:val="24"/>
          <w14:textFill>
            <w14:solidFill>
              <w14:schemeClr w14:val="tx1"/>
            </w14:solidFill>
          </w14:textFill>
        </w:rPr>
        <w:t>评审标准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6"/>
        <w:gridCol w:w="709"/>
        <w:gridCol w:w="51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ascii="宋体" w:hAnsi="宋体" w:cs="宋体"/>
                <w:b/>
                <w:color w:val="000000" w:themeColor="text1"/>
                <w:sz w:val="21"/>
                <w:szCs w:val="21"/>
                <w14:textFill>
                  <w14:solidFill>
                    <w14:schemeClr w14:val="tx1"/>
                  </w14:solidFill>
                </w14:textFill>
              </w:rPr>
            </w:pPr>
            <w:bookmarkStart w:id="337" w:name="_Toc8959"/>
            <w:bookmarkStart w:id="338" w:name="_Toc150169356"/>
            <w:bookmarkStart w:id="339" w:name="_Toc20576"/>
            <w:bookmarkStart w:id="340" w:name="_Toc5436"/>
            <w:bookmarkStart w:id="341" w:name="_Toc2023"/>
            <w:bookmarkStart w:id="342" w:name="_Toc29853"/>
            <w:bookmarkStart w:id="343" w:name="_Toc14129"/>
            <w:bookmarkStart w:id="344" w:name="_Toc76462335"/>
            <w:bookmarkStart w:id="345" w:name="_Toc27475"/>
            <w:bookmarkStart w:id="346" w:name="_Toc13099"/>
            <w:bookmarkStart w:id="347" w:name="_Toc31353"/>
            <w:bookmarkStart w:id="348" w:name="_Toc29967"/>
            <w:bookmarkStart w:id="349" w:name="_Toc21491"/>
            <w:bookmarkStart w:id="350" w:name="_Toc16120"/>
            <w:bookmarkStart w:id="351" w:name="_Toc6019"/>
            <w:bookmarkStart w:id="352" w:name="_Toc5816"/>
            <w:bookmarkStart w:id="353" w:name="_Toc26413"/>
            <w:bookmarkStart w:id="354" w:name="_Toc18428"/>
            <w:r>
              <w:rPr>
                <w:rFonts w:hint="eastAsia" w:ascii="宋体" w:hAnsi="宋体" w:cs="宋体"/>
                <w:b/>
                <w:color w:val="000000" w:themeColor="text1"/>
                <w:sz w:val="21"/>
                <w:szCs w:val="21"/>
                <w14:textFill>
                  <w14:solidFill>
                    <w14:schemeClr w14:val="tx1"/>
                  </w14:solidFill>
                </w14:textFill>
              </w:rPr>
              <w:t>序号</w:t>
            </w:r>
          </w:p>
        </w:tc>
        <w:tc>
          <w:tcPr>
            <w:tcW w:w="1106"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评分因素及权值</w:t>
            </w:r>
          </w:p>
        </w:tc>
        <w:tc>
          <w:tcPr>
            <w:tcW w:w="709"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分值</w:t>
            </w:r>
          </w:p>
        </w:tc>
        <w:tc>
          <w:tcPr>
            <w:tcW w:w="5103"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评分标准</w:t>
            </w:r>
          </w:p>
        </w:tc>
        <w:tc>
          <w:tcPr>
            <w:tcW w:w="1701"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106"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磋商报价</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103"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满足资格性、符合性要求且最后报价最低的供应商的价格为磋商基准价，其价格分为满分。其他供应商的价格分统一按照下列公式计算：</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磋商报价得分=（磋商基准价/最后磋商报价）×价格权值×100</w:t>
            </w:r>
          </w:p>
        </w:tc>
        <w:tc>
          <w:tcPr>
            <w:tcW w:w="1701" w:type="dxa"/>
            <w:vAlign w:val="center"/>
          </w:tcPr>
          <w:p>
            <w:pPr>
              <w:ind w:left="-3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gridSpan w:val="5"/>
            <w:vAlign w:val="center"/>
          </w:tcPr>
          <w:p>
            <w:pPr>
              <w:ind w:left="-3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供应商的应答应满足竞争性磋商文件“第二篇 项目服务需求”，有一条不满足的（</w:t>
            </w:r>
            <w:r>
              <w:rPr>
                <w:rFonts w:hint="eastAsia" w:ascii="宋体" w:hAnsi="宋体" w:cs="宋体"/>
                <w:color w:val="000000" w:themeColor="text1"/>
                <w:kern w:val="0"/>
                <w:sz w:val="21"/>
                <w:szCs w:val="21"/>
                <w14:textFill>
                  <w14:solidFill>
                    <w14:schemeClr w14:val="tx1"/>
                  </w14:solidFill>
                </w14:textFill>
              </w:rPr>
              <w:t>第二篇中“※”号标注的部分除外</w:t>
            </w:r>
            <w:r>
              <w:rPr>
                <w:rFonts w:hint="eastAsia" w:ascii="宋体" w:hAnsi="宋体" w:cs="宋体"/>
                <w:color w:val="000000" w:themeColor="text1"/>
                <w:sz w:val="21"/>
                <w:szCs w:val="21"/>
                <w14:textFill>
                  <w14:solidFill>
                    <w14:schemeClr w14:val="tx1"/>
                  </w14:solidFill>
                </w14:textFill>
              </w:rPr>
              <w:t>），服务部分得分为0分，不再进入服务部分的评审。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5"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106"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服务部分</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（40%）</w:t>
            </w: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5103" w:type="dxa"/>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（一）对项目的理解</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1.项目建设条件</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对沿线自然经济特征、建设条件等了解全面，对重大控制性因素掌握全面、理解深刻，能够把控好线路走向和站点设置。</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一档：方案能够对沿线自然经济特征、建设条件等了解全面，对重大控制性因素掌握全面、理解深刻，能够把控好线路走向和站点设置的得2分。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二档：方案基本能够对沿线自然经济特征、建设条件等了解全面，对重大控制性因素掌握、理解一般，对线路走向和站点设置把控一般的得1.5分。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三档：方案仅对沿线自然经济特征、建设条件等了解，对重大控制性因素掌握不全面、理解不充分，对线路走向和站点设置把控不清晰的得1分。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2.对区域铁路网的理解</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熟悉区域铁路网及相关规划，对于本项目周边在建、拟建及规划重点铁路项目情况熟悉。</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一档：方案能体现对区域铁路网及相关规划的熟练掌控，对于本项目周边在建、拟建及规划重点铁路项目情况熟悉的得2分。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二档：方案能体现对区域铁路网及相关规划的比较熟练掌控，对于本项目周边在建、拟建及规划重点铁路项目情况比较熟悉的得1.</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三档：方案能体现对区域铁路网及相关规划的熟悉程度一般，对于本项目周边在建、拟建及规划重点铁路项目情况掌握不全的得1分。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3.项目功能定位</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论述本项目在铁路网、综合交通体系及社会经济发展中的作用，提出本项目承担的主要运输任务。</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一档：方案能清晰论述本项目在铁路网、综合交通体系及社会经济发展中的作用，准确提出本项目承担的主要运输任务的得2分。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二档：方案能比较清晰论述本项目在铁路网、综合交通体系及社会经济发展中的作用，能提出本项目承担的主要运输任务，但分析不深入的得1.5分。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三档：方案仅能简单论述本项目在铁路网、综合交通体系及社会经济发展中的作用，未能准确提出本项目承担的主要运输任务的得1分。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4.运量预测</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论述区域社会经济发展特征和交通运输结构，预测区域铁路网运量、建设项目客货运量。预测方法科学、预测依据和结论可靠，通道需求现状和增长趋势把握准确。</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一档：能准确论述区域社会经济发展特征和交通运输结构，预测区域铁路网运量、建设项目客货运量。预测方法科学、预测依据和结论可靠，通道需求现状和增长趋势把握准确的得2分。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二档：能较为准确论述区域社会经济发展特征和交通运输结构，预测区域铁路网运量、建设项目客货运量。预测方法科学、预测依据和结论基本可靠，通道需求现状和增长趋势把握相对准确的得1.5分。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三档：有论述区域社会经济发展特征和交通运输结构，预测区域铁路网运量、建设项目客货运量，但预测方法不科学、预测依据和结论不可靠，通道需求现状和增长趋势把握不准确的得1分。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5</w:t>
            </w:r>
            <w:r>
              <w:rPr>
                <w:rFonts w:hint="eastAsia" w:ascii="宋体" w:hAnsi="宋体"/>
                <w:b/>
                <w:color w:val="000000" w:themeColor="text1"/>
                <w:sz w:val="21"/>
                <w:szCs w:val="21"/>
                <w14:textFill>
                  <w14:solidFill>
                    <w14:schemeClr w14:val="tx1"/>
                  </w14:solidFill>
                </w14:textFill>
              </w:rPr>
              <w:t>.引入枢纽（地区）方案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对相关枢纽（地区）情况熟悉、认识深刻，论述全面，枢纽（地区）引入方案科学合理。</w:t>
            </w:r>
            <w:r>
              <w:rPr>
                <w:rFonts w:ascii="宋体" w:hAnsi="宋体"/>
                <w:color w:val="000000" w:themeColor="text1"/>
                <w:sz w:val="21"/>
                <w:szCs w:val="21"/>
                <w14:textFill>
                  <w14:solidFill>
                    <w14:schemeClr w14:val="tx1"/>
                  </w14:solidFill>
                </w14:textFill>
              </w:rPr>
              <w:t xml:space="preserve">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一档：对相关枢纽（地区）情况熟悉、认识深刻，论述全面透彻，枢纽（地区）引入方案科学合理的得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r>
              <w:rPr>
                <w:rFonts w:ascii="宋体" w:hAnsi="宋体"/>
                <w:color w:val="000000" w:themeColor="text1"/>
                <w:sz w:val="21"/>
                <w:szCs w:val="21"/>
                <w14:textFill>
                  <w14:solidFill>
                    <w14:schemeClr w14:val="tx1"/>
                  </w14:solidFill>
                </w14:textFill>
              </w:rPr>
              <w:t xml:space="preserve">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二档：对相关枢纽（地区）情况较为熟悉、认识完整，论述得当，枢纽（地区）引入方案较为合理的得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r>
              <w:rPr>
                <w:rFonts w:ascii="宋体" w:hAnsi="宋体"/>
                <w:color w:val="000000" w:themeColor="text1"/>
                <w:sz w:val="21"/>
                <w:szCs w:val="21"/>
                <w14:textFill>
                  <w14:solidFill>
                    <w14:schemeClr w14:val="tx1"/>
                  </w14:solidFill>
                </w14:textFill>
              </w:rPr>
              <w:t xml:space="preserve">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三档：对相关枢纽（地区）情况了解、认识片面，论述不全，枢纽（地区）引入方案不够合理的得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r>
              <w:rPr>
                <w:rFonts w:ascii="宋体" w:hAnsi="宋体"/>
                <w:color w:val="000000" w:themeColor="text1"/>
                <w:sz w:val="21"/>
                <w:szCs w:val="21"/>
                <w14:textFill>
                  <w14:solidFill>
                    <w14:schemeClr w14:val="tx1"/>
                  </w14:solidFill>
                </w14:textFill>
              </w:rPr>
              <w:t xml:space="preserve">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6.线路方案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研究项目扩能改造方案、局部重点方案。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一档：方案表述详细，思路清晰，数据充分，能透彻表达出项目扩能改造方案和局部重点情况的得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二档：方案表述有清晰思路，有符合项目扩能改造方案和局部重点情况的理解和分析的得</w:t>
            </w:r>
            <w:r>
              <w:rPr>
                <w:rFonts w:ascii="宋体" w:hAnsi="宋体"/>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三档：方案内容符合项目实际情况，但内容粗略，不能体现出对项目扩能改造方案和局部重点情况的理解和分析的得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7.主要技术标准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主要技术标准与项目功能定位相协调，与区域铁路网标准及城市功能定位相匹配。</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一档：主要技术标准与项目功能定位相协调，与区域铁路网标准及城市功能定位相匹配的得2分。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二档：主要技术标准与项目功能定位相对协调，与区域铁路网标准及城市功能定位基本相匹配的得1.5分。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三档：主要技术标准与项目功能定位不协调，与区域铁路网标准及城市功能定位不匹配的得1分。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8</w:t>
            </w:r>
            <w:r>
              <w:rPr>
                <w:rFonts w:hint="eastAsia" w:ascii="宋体" w:hAnsi="宋体"/>
                <w:b/>
                <w:color w:val="000000" w:themeColor="text1"/>
                <w:sz w:val="21"/>
                <w:szCs w:val="21"/>
                <w14:textFill>
                  <w14:solidFill>
                    <w14:schemeClr w14:val="tx1"/>
                  </w14:solidFill>
                </w14:textFill>
              </w:rPr>
              <w:t>、运输组织方案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合理排布运输组织方案。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一档：运输组织方案合理高效的得2分。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二档：推荐运输组织方案合理的得1.5分。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三档：推荐运输组织方案较为合理的得1分。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9</w:t>
            </w:r>
            <w:r>
              <w:rPr>
                <w:rFonts w:hint="eastAsia" w:ascii="宋体" w:hAnsi="宋体"/>
                <w:b/>
                <w:color w:val="000000" w:themeColor="text1"/>
                <w:sz w:val="21"/>
                <w:szCs w:val="21"/>
                <w14:textFill>
                  <w14:solidFill>
                    <w14:schemeClr w14:val="tx1"/>
                  </w14:solidFill>
                </w14:textFill>
              </w:rPr>
              <w:t>、投资预估算、投资控制措施及经济评价</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研究项目工程投资，提出控制工程投资的控制措施，结合沿线地区的经济水平及本项目的具体情况进行经济评价。</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一档：提出的投资估算科学合理，工程数量准确；提出的工程投资控制措施得力、有效，切实可行；对本项目的经济评价合理准确的得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二档：提出的投资估算基本合理，工程数量大致准确，提出的工程投资控制措施有效，承诺责任可行；对本项目的经济评价基本合理的得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三档：提出的投资估算不合理，工程数量不确，提出的工程投资控制措施效果差，承诺责任难以落实、不可行；对本项目的经济评价偏离实际的得1分。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restart"/>
            <w:vAlign w:val="center"/>
          </w:tcPr>
          <w:p>
            <w:pPr>
              <w:textAlignment w:val="baseline"/>
              <w:rPr>
                <w:rFonts w:ascii="宋体" w:hAnsi="宋体" w:eastAsia="仿宋_GB2312"/>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提供方案</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格式自定</w:t>
            </w:r>
            <w:r>
              <w:rPr>
                <w:rFonts w:hint="eastAsia" w:cs="宋体" w:asciiTheme="minorEastAsia" w:hAnsiTheme="minorEastAsia" w:eastAsiaTheme="minorEastAsia"/>
                <w:color w:val="000000" w:themeColor="text1"/>
                <w:sz w:val="21"/>
                <w:szCs w:val="21"/>
                <w14:textFill>
                  <w14:solidFill>
                    <w14:schemeClr w14:val="tx1"/>
                  </w14:solidFill>
                </w14:textFill>
              </w:rPr>
              <w:t>（此</w:t>
            </w:r>
            <w:r>
              <w:rPr>
                <w:rFonts w:hint="eastAsia" w:ascii="宋体" w:hAnsi="宋体"/>
                <w:color w:val="000000" w:themeColor="text1"/>
                <w:sz w:val="21"/>
                <w:szCs w:val="21"/>
                <w14:textFill>
                  <w14:solidFill>
                    <w14:schemeClr w14:val="tx1"/>
                  </w14:solidFill>
                </w14:textFill>
              </w:rPr>
              <w:t>部分建议不超过</w:t>
            </w:r>
            <w:r>
              <w:rPr>
                <w:rFonts w:ascii="宋体" w:hAnsi="宋体"/>
                <w:color w:val="000000" w:themeColor="text1"/>
                <w:sz w:val="21"/>
                <w:szCs w:val="21"/>
                <w14:textFill>
                  <w14:solidFill>
                    <w14:schemeClr w14:val="tx1"/>
                  </w14:solidFill>
                </w14:textFill>
              </w:rPr>
              <w:t>200</w:t>
            </w:r>
            <w:r>
              <w:rPr>
                <w:rFonts w:hint="eastAsia" w:ascii="宋体" w:hAnsi="宋体"/>
                <w:color w:val="000000" w:themeColor="text1"/>
                <w:sz w:val="21"/>
                <w:szCs w:val="21"/>
                <w14:textFill>
                  <w14:solidFill>
                    <w14:schemeClr w14:val="tx1"/>
                  </w14:solidFill>
                </w14:textFill>
              </w:rPr>
              <w:t>页，但页数不作为评审因素）。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（二）重难点的理解及处理措施</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合理确定项目定位及通道分工</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准确理解区域铁路网格局，把握相关线路功能分工和客货流分配，合理确定本项目的功能定位及铁路网功能作用。</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一档：能准确理解区域铁路网格局，把握相关线路功能分工和客货流分配，合理确定本项目的功能定位及铁路网功能作用的得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二档：基本理解区域铁路网格局，把握相关线路功能分工和客货流分配，能确定本项目的功能定位及铁路网功能作用的得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三档：对区域铁路网格局理解不充分，对相关线路功能分工和客货流分配理解不透彻，对本项目的功能定位及铁路网功能作用分析不全面的得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2.货运中心站布置方案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结合研究范围内工业园区的布局，按照物流中心的概念，与地方相关部门进一步研究货运布置。</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一档：能够结合工业园区布局，提出合理的货运中心站布置方案的得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二档：能够较为准确的结合工业园区布局，提出合理的货运中心站布置方案的得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三档：对货运中心站布置方案研究不透彻，不能提出较好的布置方案的得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 xml:space="preserve"> 路网结合及接轨方案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结合既有路网现状及特点，分析既有通道能力，提出合理的建设及接轨方案。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一档：方案能完整结合既有路网现状及特点，分析既有通道能力，提出合理的建设及接轨方案的得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二档：方案能较好结合既有路网现状及特点，分析既有通道能力，提出较为合理的建设及接轨方案的得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三档：方案仅能结合部分既有路网现状及特点，不能提出合理的建设及接轨方案的得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合理制定技术标准及改造方案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结合沿线既有线路技术标准及能力需求，确定不同段落最优改造方案及技术标准。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一档：方案能完整结合沿线既有线路技术标准及能力需求，确定不同段落最优技术标准及改造方案的得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二档：方案能较好结合沿线既有线路技术标准及能力需求，确定不同段落较好的技术标准及改造方案的得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三档：方案仅能提出技术标准及改造方案，不能与沿线既有线路技术标准及能力需求相匹配的得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5.</w:t>
            </w:r>
            <w:r>
              <w:rPr>
                <w:rFonts w:hint="eastAsia" w:ascii="宋体" w:hAnsi="宋体"/>
                <w:b/>
                <w:color w:val="000000" w:themeColor="text1"/>
                <w:sz w:val="21"/>
                <w:szCs w:val="21"/>
                <w14:textFill>
                  <w14:solidFill>
                    <w14:schemeClr w14:val="tx1"/>
                  </w14:solidFill>
                </w14:textFill>
              </w:rPr>
              <w:t xml:space="preserve"> 重点工程分析</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本线沿途既有线路多，工程较为复杂，对本线重点工程进行深入分析并提出针对性措施。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一档：能深入对本线重点工程进行分析并提出针对性措施的得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二档：能基本对本线重点工程进行分析并提出普遍性措施的得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三档：对本线重点工程进行分析不透彻，提出措施不全面的得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6.穿越重点环境敏感区线路方案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本线途经众多环境敏感区域，穿越和绕避难度大，对本线重点工程进行深入分析并提出针对性措施。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一档：能深入对本线穿越或绕避方案进行分析并提出针对性措施，方案可行且工程投资最优的得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二档：能基本对本线穿越或绕避方案进行分析并提出普遍性措施，方案基本可行且工程投资较优的得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三档：对本线穿越环境敏感区方案进行分析不透彻，提出措施不全面的得1分。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continue"/>
            <w:vAlign w:val="center"/>
          </w:tcPr>
          <w:p>
            <w:pPr>
              <w:textAlignment w:val="baseline"/>
              <w:rPr>
                <w:rFonts w:ascii="宋体" w:hAnsi="宋体" w:eastAsia="仿宋_GB2312"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（三）质量保证措施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建立的质量保证体系严格，质量管理制度完善，质量保证措施内容完整、合理、具有可行性。</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一档：建立的质量保证体系严格，质量管理制度完善，质量保证措施内容完整合理，具有较好可行性的得1分。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二档：建立的质量保证体系符合相关要求，质量管理制度完善但稍有不足，质量保证措施内容合理、具有可行性的得0</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textAlignment w:val="baseline"/>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三档：建立的质量保证体系符合基本相关要求，质量管理制度没有针对性，质量保证措施内容不合理，可行性存在不足得0分。</w:t>
            </w:r>
          </w:p>
        </w:tc>
        <w:tc>
          <w:tcPr>
            <w:tcW w:w="1701" w:type="dxa"/>
            <w:vMerge w:val="continue"/>
            <w:vAlign w:val="center"/>
          </w:tcPr>
          <w:p>
            <w:pPr>
              <w:textAlignment w:val="baseline"/>
              <w:rPr>
                <w:rFonts w:ascii="宋体" w:hAnsi="宋体" w:eastAsia="仿宋_GB2312"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（四）后续服务安排及保障措施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后续服务安排及保障措施全面、合理。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一档：后续服务安排及保障措施全面、合理的得1分。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二档：后续服务安排及保障措施的全面性或内容的合理性有不足得0</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三档：后续服务安排及保障措施不合理，不利于执行的得0分。</w:t>
            </w:r>
          </w:p>
        </w:tc>
        <w:tc>
          <w:tcPr>
            <w:tcW w:w="1701" w:type="dxa"/>
            <w:vMerge w:val="continue"/>
            <w:vAlign w:val="center"/>
          </w:tcPr>
          <w:p>
            <w:pPr>
              <w:textAlignment w:val="baseline"/>
              <w:rPr>
                <w:rFonts w:ascii="仿宋_GB2312" w:eastAsia="仿宋_GB2312"/>
                <w:color w:val="000000" w:themeColor="text1"/>
                <w:sz w:val="3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464" w:type="dxa"/>
            <w:gridSpan w:val="5"/>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供应商的应答应满足竞争性磋商文件“第三篇 项目商务需求”，有一条不满足的（</w:t>
            </w:r>
            <w:r>
              <w:rPr>
                <w:rFonts w:hint="eastAsia" w:ascii="宋体" w:hAnsi="宋体" w:cs="宋体"/>
                <w:color w:val="000000" w:themeColor="text1"/>
                <w:kern w:val="0"/>
                <w:sz w:val="21"/>
                <w:szCs w:val="21"/>
                <w14:textFill>
                  <w14:solidFill>
                    <w14:schemeClr w14:val="tx1"/>
                  </w14:solidFill>
                </w14:textFill>
              </w:rPr>
              <w:t>第三篇中“※”号标注的部分除外</w:t>
            </w:r>
            <w:r>
              <w:rPr>
                <w:rFonts w:hint="eastAsia" w:ascii="宋体" w:hAnsi="宋体" w:cs="宋体"/>
                <w:color w:val="000000" w:themeColor="text1"/>
                <w:sz w:val="21"/>
                <w:szCs w:val="21"/>
                <w14:textFill>
                  <w14:solidFill>
                    <w14:schemeClr w14:val="tx1"/>
                  </w14:solidFill>
                </w14:textFill>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5"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106"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商务部分</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w:t>
            </w:r>
          </w:p>
        </w:tc>
        <w:tc>
          <w:tcPr>
            <w:tcW w:w="709"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40</w:t>
            </w:r>
          </w:p>
        </w:tc>
        <w:tc>
          <w:tcPr>
            <w:tcW w:w="5103" w:type="dxa"/>
            <w:vAlign w:val="center"/>
          </w:tcPr>
          <w:p>
            <w:pPr>
              <w:ind w:left="28"/>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（一）履约经验</w:t>
            </w:r>
          </w:p>
          <w:p>
            <w:pP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自2019年1月1日至今（以可研批复时间为准），承担过国内新建（或改建）铁路项目可行性研究并取得行业主管单位（或部门）批复的，供应商每提供一个满足要求业绩得4分，本项最多得20分。不满足的不得分。</w:t>
            </w:r>
          </w:p>
        </w:tc>
        <w:tc>
          <w:tcPr>
            <w:tcW w:w="1701" w:type="dxa"/>
            <w:vAlign w:val="center"/>
          </w:tcPr>
          <w:p>
            <w:pPr>
              <w:rPr>
                <w:rFonts w:ascii="宋体" w:hAnsi="宋体" w:cs="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同时提供以下2种资料：1.项目合同</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项目甲方出具的证明）复印件。</w:t>
            </w:r>
            <w:r>
              <w:rPr>
                <w:rFonts w:ascii="宋体" w:hAnsi="宋体"/>
                <w:color w:val="000000" w:themeColor="text1"/>
                <w:sz w:val="21"/>
                <w:szCs w:val="21"/>
                <w14:textFill>
                  <w14:solidFill>
                    <w14:schemeClr w14:val="tx1"/>
                  </w14:solidFill>
                </w14:textFill>
              </w:rPr>
              <w:t>2.行业主管单位（或部门）可研批复文件复印件。</w:t>
            </w:r>
            <w:r>
              <w:rPr>
                <w:rFonts w:hint="eastAsia" w:ascii="宋体" w:hAnsi="宋体"/>
                <w:color w:val="000000" w:themeColor="text1"/>
                <w:sz w:val="21"/>
                <w:szCs w:val="21"/>
                <w14:textFill>
                  <w14:solidFill>
                    <w14:schemeClr w14:val="tx1"/>
                  </w14:solidFill>
                </w14:textFill>
              </w:rPr>
              <w:t>（均加盖供应商公章）（一个业绩只计分一次）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供应商自2019年1月1日至今（以通车运营时间为准），承担的国内新建（或改建）设计行车速度（或设计时速）120km/h及以上的客货共线I级铁路项目勘察设计并已通车运营的，供应商每提供一个满足要求业绩得4分，本项最多得20分。不满足的不得分。</w:t>
            </w:r>
          </w:p>
        </w:tc>
        <w:tc>
          <w:tcPr>
            <w:tcW w:w="1701" w:type="dxa"/>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同时提供以下3种资料：1.项目合同</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项目甲方出具的证明）复印件。</w:t>
            </w:r>
            <w:r>
              <w:rPr>
                <w:rFonts w:ascii="宋体" w:hAnsi="宋体"/>
                <w:color w:val="000000" w:themeColor="text1"/>
                <w:sz w:val="21"/>
                <w:szCs w:val="21"/>
                <w14:textFill>
                  <w14:solidFill>
                    <w14:schemeClr w14:val="tx1"/>
                  </w14:solidFill>
                </w14:textFill>
              </w:rPr>
              <w:t>2.行业主管单位（或部门）初设批复文件复印件。3.</w:t>
            </w:r>
            <w:r>
              <w:rPr>
                <w:rFonts w:hint="eastAsia" w:ascii="宋体" w:hAnsi="宋体"/>
                <w:color w:val="000000" w:themeColor="text1"/>
                <w:sz w:val="21"/>
                <w:szCs w:val="21"/>
                <w14:textFill>
                  <w14:solidFill>
                    <w14:schemeClr w14:val="tx1"/>
                  </w14:solidFill>
                </w14:textFill>
              </w:rPr>
              <w:t>项目通车运营证明文件复印件（均加盖供应商公章）（一个业绩只计分一次）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103" w:type="dxa"/>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（二）人员配置</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供应商拟派项目负责人具有高级工程师及以上职称（专业技术资格）得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tc>
        <w:tc>
          <w:tcPr>
            <w:tcW w:w="1701" w:type="dxa"/>
            <w:vAlign w:val="center"/>
          </w:tcPr>
          <w:p>
            <w:pPr>
              <w:ind w:left="-3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提供证书复印件，并加盖供应商公章</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供应商拟派项目负责人承担过国内新建（或改建）铁路项目可行性研究并担任项目负责人或项目总体（或副总体）负责人的得3分，不满足的不得分。</w:t>
            </w:r>
          </w:p>
        </w:tc>
        <w:tc>
          <w:tcPr>
            <w:tcW w:w="1701" w:type="dxa"/>
            <w:vAlign w:val="center"/>
          </w:tcPr>
          <w:p>
            <w:pPr>
              <w:ind w:left="-38"/>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合同（或可行性研究报告或项目业主出具的证明）</w:t>
            </w:r>
            <w:r>
              <w:rPr>
                <w:rFonts w:ascii="宋体" w:hAnsi="宋体"/>
                <w:color w:val="000000" w:themeColor="text1"/>
                <w:sz w:val="21"/>
                <w:szCs w:val="21"/>
                <w14:textFill>
                  <w14:solidFill>
                    <w14:schemeClr w14:val="tx1"/>
                  </w14:solidFill>
                </w14:textFill>
              </w:rPr>
              <w:t>复印件</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并加盖供应商公章</w:t>
            </w:r>
            <w:r>
              <w:rPr>
                <w:rFonts w:hint="eastAsia" w:ascii="宋体"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3.供应商拟派项目组成员（项目负责人除外）中具备高级及以上技术职称的，每有一人得1分，本项最多得5分</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不满足</w:t>
            </w:r>
            <w:r>
              <w:rPr>
                <w:rFonts w:ascii="宋体" w:hAnsi="宋体"/>
                <w:color w:val="000000" w:themeColor="text1"/>
                <w:sz w:val="21"/>
                <w:szCs w:val="21"/>
                <w14:textFill>
                  <w14:solidFill>
                    <w14:schemeClr w14:val="tx1"/>
                  </w14:solidFill>
                </w14:textFill>
              </w:rPr>
              <w:t>的不得分</w:t>
            </w:r>
            <w:r>
              <w:rPr>
                <w:rFonts w:hint="eastAsia" w:ascii="宋体" w:hAnsi="宋体"/>
                <w:color w:val="000000" w:themeColor="text1"/>
                <w:sz w:val="21"/>
                <w:szCs w:val="21"/>
                <w14:textFill>
                  <w14:solidFill>
                    <w14:schemeClr w14:val="tx1"/>
                  </w14:solidFill>
                </w14:textFill>
              </w:rPr>
              <w:t>。</w:t>
            </w:r>
          </w:p>
        </w:tc>
        <w:tc>
          <w:tcPr>
            <w:tcW w:w="1701" w:type="dxa"/>
            <w:vAlign w:val="center"/>
          </w:tcPr>
          <w:p>
            <w:pPr>
              <w:ind w:left="-38"/>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提供人员证书复印件</w:t>
            </w:r>
            <w:r>
              <w:rPr>
                <w:rFonts w:hint="eastAsia" w:ascii="宋体" w:hAnsi="宋体"/>
                <w:color w:val="000000" w:themeColor="text1"/>
                <w:sz w:val="21"/>
                <w:szCs w:val="21"/>
                <w14:textFill>
                  <w14:solidFill>
                    <w14:schemeClr w14:val="tx1"/>
                  </w14:solidFill>
                </w14:textFill>
              </w:rPr>
              <w:t>及供应商为其</w:t>
            </w:r>
            <w:r>
              <w:rPr>
                <w:rFonts w:ascii="宋体" w:hAnsi="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2024年任一月</w:t>
            </w:r>
            <w:r>
              <w:rPr>
                <w:rFonts w:ascii="宋体" w:hAnsi="宋体"/>
                <w:color w:val="000000" w:themeColor="text1"/>
                <w:sz w:val="21"/>
                <w:szCs w:val="21"/>
                <w14:textFill>
                  <w14:solidFill>
                    <w14:schemeClr w14:val="tx1"/>
                  </w14:solidFill>
                </w14:textFill>
              </w:rPr>
              <w:t>缴纳的社保的证明</w:t>
            </w:r>
            <w:r>
              <w:rPr>
                <w:rFonts w:hint="eastAsia" w:ascii="宋体" w:hAnsi="宋体"/>
                <w:color w:val="000000" w:themeColor="text1"/>
                <w:sz w:val="21"/>
                <w:szCs w:val="21"/>
                <w14:textFill>
                  <w14:solidFill>
                    <w14:schemeClr w14:val="tx1"/>
                  </w14:solidFill>
                </w14:textFill>
              </w:rPr>
              <w:t>材料</w:t>
            </w:r>
            <w:r>
              <w:rPr>
                <w:rFonts w:ascii="宋体" w:hAnsi="宋体"/>
                <w:color w:val="000000" w:themeColor="text1"/>
                <w:sz w:val="21"/>
                <w:szCs w:val="21"/>
                <w14:textFill>
                  <w14:solidFill>
                    <w14:schemeClr w14:val="tx1"/>
                  </w14:solidFill>
                </w14:textFill>
              </w:rPr>
              <w:t>复印件</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并加盖供应商公章</w:t>
            </w:r>
            <w:r>
              <w:rPr>
                <w:rFonts w:hint="eastAsia" w:ascii="宋体" w:hAnsi="宋体"/>
                <w:color w:val="000000" w:themeColor="text1"/>
                <w:sz w:val="21"/>
                <w:szCs w:val="21"/>
                <w14:textFill>
                  <w14:solidFill>
                    <w14:schemeClr w14:val="tx1"/>
                  </w14:solidFill>
                </w14:textFill>
              </w:rPr>
              <w:t>。</w:t>
            </w:r>
          </w:p>
        </w:tc>
      </w:tr>
    </w:tbl>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注：关于小微企业报价扣除比例说明</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对小微型企业给予10%的扣除，以扣除后的报价参与评审。</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55" w:name="_Toc154503368"/>
      <w:r>
        <w:rPr>
          <w:rFonts w:hint="eastAsia" w:ascii="宋体" w:hAnsi="宋体" w:eastAsia="宋体" w:cs="宋体"/>
          <w:color w:val="000000" w:themeColor="text1"/>
          <w:sz w:val="24"/>
          <w14:textFill>
            <w14:solidFill>
              <w14:schemeClr w14:val="tx1"/>
            </w14:solidFill>
          </w14:textFill>
        </w:rPr>
        <w:t>三、无效响应</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（八）供应商磋商有效期不满足竞争性磋商文件要求的；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（十）法律、法规和竞争性磋商文件规定的其他无效情形。</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56" w:name="_Toc76462336"/>
      <w:bookmarkStart w:id="357" w:name="_Toc1791"/>
      <w:bookmarkStart w:id="358" w:name="_Toc25586"/>
      <w:bookmarkStart w:id="359" w:name="_Toc7641"/>
      <w:bookmarkStart w:id="360" w:name="_Toc12510"/>
      <w:bookmarkStart w:id="361" w:name="_Toc292"/>
      <w:bookmarkStart w:id="362" w:name="_Toc12197"/>
      <w:bookmarkStart w:id="363" w:name="_Toc10466"/>
      <w:bookmarkStart w:id="364" w:name="_Toc10254"/>
      <w:bookmarkStart w:id="365" w:name="_Toc150169357"/>
      <w:bookmarkStart w:id="366" w:name="_Toc22944"/>
      <w:bookmarkStart w:id="367" w:name="_Toc18459"/>
      <w:bookmarkStart w:id="368" w:name="_Toc9827"/>
      <w:bookmarkStart w:id="369" w:name="_Toc18545"/>
      <w:bookmarkStart w:id="370" w:name="_Toc154503369"/>
      <w:bookmarkStart w:id="371" w:name="_Toc31634"/>
      <w:bookmarkStart w:id="372" w:name="_Toc4767"/>
      <w:bookmarkStart w:id="373" w:name="_Toc11456"/>
      <w:bookmarkStart w:id="374" w:name="_Toc19865"/>
      <w:r>
        <w:rPr>
          <w:rFonts w:hint="eastAsia" w:ascii="宋体" w:hAnsi="宋体" w:eastAsia="宋体" w:cs="宋体"/>
          <w:color w:val="000000" w:themeColor="text1"/>
          <w:sz w:val="24"/>
          <w14:textFill>
            <w14:solidFill>
              <w14:schemeClr w14:val="tx1"/>
            </w14:solidFill>
          </w14:textFill>
        </w:rPr>
        <w:t>四、</w:t>
      </w:r>
      <w:bookmarkEnd w:id="335"/>
      <w:bookmarkEnd w:id="336"/>
      <w:r>
        <w:rPr>
          <w:rFonts w:hint="eastAsia" w:ascii="宋体" w:hAnsi="宋体" w:eastAsia="宋体" w:cs="宋体"/>
          <w:color w:val="000000" w:themeColor="text1"/>
          <w:sz w:val="24"/>
          <w14:textFill>
            <w14:solidFill>
              <w14:schemeClr w14:val="tx1"/>
            </w14:solidFill>
          </w14:textFill>
        </w:rPr>
        <w:t>采购终止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（一）因情况变化，不再符合规定的竞争性磋商采购方式适用情形的；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pStyle w:val="2"/>
        <w:ind w:firstLine="723"/>
        <w:rPr>
          <w:rFonts w:ascii="Times New Roman" w:hAnsi="Times New Roman"/>
          <w:bCs/>
          <w:color w:val="000000" w:themeColor="text1"/>
          <w14:textFill>
            <w14:solidFill>
              <w14:schemeClr w14:val="tx1"/>
            </w14:solidFill>
          </w14:textFill>
        </w:rPr>
      </w:pPr>
      <w:r>
        <w:rPr>
          <w:rFonts w:hint="eastAsia" w:cs="宋体"/>
          <w:color w:val="000000" w:themeColor="text1"/>
          <w:szCs w:val="24"/>
          <w14:textFill>
            <w14:solidFill>
              <w14:schemeClr w14:val="tx1"/>
            </w14:solidFill>
          </w14:textFill>
        </w:rPr>
        <w:br w:type="page"/>
      </w:r>
      <w:bookmarkStart w:id="375" w:name="_Toc13956"/>
      <w:bookmarkStart w:id="376" w:name="_Toc15885"/>
      <w:bookmarkStart w:id="377" w:name="_Toc15373"/>
      <w:bookmarkStart w:id="378" w:name="_Toc154503370"/>
      <w:bookmarkStart w:id="379" w:name="_Toc76462337"/>
      <w:bookmarkStart w:id="380" w:name="_Toc150169358"/>
      <w:bookmarkStart w:id="381" w:name="_Toc1279"/>
      <w:bookmarkStart w:id="382" w:name="_Toc20096"/>
      <w:bookmarkStart w:id="383" w:name="_Toc1938"/>
      <w:bookmarkStart w:id="384" w:name="_Toc28660"/>
      <w:bookmarkStart w:id="385" w:name="_Toc8196"/>
      <w:bookmarkStart w:id="386" w:name="_Toc102227313"/>
      <w:bookmarkStart w:id="387" w:name="_Toc8009"/>
      <w:bookmarkStart w:id="388" w:name="_Toc21331"/>
      <w:bookmarkStart w:id="389" w:name="_Toc20039"/>
      <w:bookmarkStart w:id="390" w:name="_Toc8251"/>
      <w:bookmarkStart w:id="391" w:name="_Toc26130"/>
      <w:bookmarkStart w:id="392" w:name="_Toc14313"/>
      <w:bookmarkStart w:id="393" w:name="_Toc706"/>
      <w:bookmarkStart w:id="394" w:name="_Toc16632"/>
      <w:r>
        <w:rPr>
          <w:rFonts w:hint="eastAsia" w:cs="宋体"/>
          <w:bCs/>
          <w:color w:val="000000" w:themeColor="text1"/>
          <w:szCs w:val="36"/>
          <w14:textFill>
            <w14:solidFill>
              <w14:schemeClr w14:val="tx1"/>
            </w14:solidFill>
          </w14:textFill>
        </w:rPr>
        <w:t>第五篇  供应商须知</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95" w:name="_Toc7999"/>
      <w:bookmarkStart w:id="396" w:name="_Toc23240"/>
      <w:bookmarkStart w:id="397" w:name="_Toc342913389"/>
      <w:bookmarkStart w:id="398" w:name="_Toc7713"/>
      <w:bookmarkStart w:id="399" w:name="_Toc76462338"/>
      <w:bookmarkStart w:id="400" w:name="_Toc21556"/>
      <w:bookmarkStart w:id="401" w:name="_Toc16478"/>
      <w:bookmarkStart w:id="402" w:name="_Toc154503371"/>
      <w:bookmarkStart w:id="403" w:name="_Toc21252"/>
      <w:bookmarkStart w:id="404" w:name="_Toc12390"/>
      <w:bookmarkStart w:id="405" w:name="_Toc17186"/>
      <w:bookmarkStart w:id="406" w:name="_Toc793"/>
      <w:bookmarkStart w:id="407" w:name="_Toc19124"/>
      <w:bookmarkStart w:id="408" w:name="_Toc27580"/>
      <w:bookmarkStart w:id="409" w:name="_Toc150169359"/>
      <w:bookmarkStart w:id="410" w:name="_Toc5692"/>
      <w:bookmarkStart w:id="411" w:name="_Toc11819"/>
      <w:bookmarkStart w:id="412" w:name="_Toc27450"/>
      <w:bookmarkStart w:id="413" w:name="_Toc19632"/>
      <w:bookmarkStart w:id="414" w:name="_Toc13127"/>
      <w:r>
        <w:rPr>
          <w:rFonts w:hint="eastAsia" w:ascii="宋体" w:hAnsi="宋体" w:eastAsia="宋体" w:cs="宋体"/>
          <w:color w:val="000000" w:themeColor="text1"/>
          <w:sz w:val="24"/>
          <w14:textFill>
            <w14:solidFill>
              <w14:schemeClr w14:val="tx1"/>
            </w14:solidFill>
          </w14:textFill>
        </w:rPr>
        <w:t>一、磋商费用</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107"/>
        <w:spacing w:line="400" w:lineRule="exact"/>
        <w:ind w:firstLine="480" w:firstLineChars="200"/>
        <w:rPr>
          <w:rFonts w:hAnsi="宋体" w:cs="宋体"/>
          <w:color w:val="000000" w:themeColor="text1"/>
          <w:sz w:val="24"/>
          <w:szCs w:val="24"/>
          <w14:textFill>
            <w14:solidFill>
              <w14:schemeClr w14:val="tx1"/>
            </w14:solidFill>
          </w14:textFill>
        </w:rPr>
      </w:pPr>
      <w:bookmarkStart w:id="415" w:name="_Toc12789059"/>
      <w:bookmarkStart w:id="416" w:name="_Toc11641055"/>
      <w:r>
        <w:rPr>
          <w:rFonts w:hint="eastAsia" w:hAnsi="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17" w:name="_Toc154503372"/>
      <w:bookmarkStart w:id="418" w:name="_Toc8698"/>
      <w:bookmarkStart w:id="419" w:name="_Toc76462339"/>
      <w:bookmarkStart w:id="420" w:name="_Toc342913391"/>
      <w:bookmarkStart w:id="421" w:name="_Toc4199"/>
      <w:bookmarkStart w:id="422" w:name="_Toc30080"/>
      <w:bookmarkStart w:id="423" w:name="_Toc9045"/>
      <w:bookmarkStart w:id="424" w:name="_Toc4573"/>
      <w:bookmarkStart w:id="425" w:name="_Toc15704"/>
      <w:bookmarkStart w:id="426" w:name="_Toc20922"/>
      <w:bookmarkStart w:id="427" w:name="_Toc18232"/>
      <w:bookmarkStart w:id="428" w:name="_Toc29521"/>
      <w:bookmarkStart w:id="429" w:name="_Toc8461"/>
      <w:bookmarkStart w:id="430" w:name="_Toc145940214"/>
      <w:bookmarkStart w:id="431" w:name="_Toc26606"/>
      <w:bookmarkStart w:id="432" w:name="_Toc8038"/>
      <w:bookmarkStart w:id="433" w:name="_Toc18966"/>
      <w:bookmarkStart w:id="434" w:name="_Toc9497"/>
      <w:bookmarkStart w:id="435" w:name="_Toc7754"/>
      <w:bookmarkStart w:id="436" w:name="_Toc22221"/>
      <w:r>
        <w:rPr>
          <w:rFonts w:hint="eastAsia" w:ascii="宋体" w:hAnsi="宋体" w:eastAsia="宋体" w:cs="宋体"/>
          <w:color w:val="000000" w:themeColor="text1"/>
          <w:sz w:val="24"/>
          <w14:textFill>
            <w14:solidFill>
              <w14:schemeClr w14:val="tx1"/>
            </w14:solidFill>
          </w14:textFill>
        </w:rPr>
        <w:t>二、竞争性磋商文件</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（一）竞争性磋商文件由采购邀请书、项目服务需求、供应商须知、项目商务需求、磋商程序及方法、评审标准、无效响应和采购终止、供应商须知</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政府采购合同</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响应文件编制要求七部分组成。</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（三）竞争性磋商文件的解释</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7" w:name="_Toc318166429"/>
      <w:bookmarkStart w:id="438" w:name="_Toc318159160"/>
      <w:bookmarkStart w:id="439" w:name="_Toc318159349"/>
      <w:bookmarkStart w:id="440" w:name="_Toc318159780"/>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437"/>
    <w:bookmarkEnd w:id="438"/>
    <w:bookmarkEnd w:id="439"/>
    <w:bookmarkEnd w:id="440"/>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41" w:name="_Toc2735"/>
      <w:bookmarkStart w:id="442" w:name="_Toc11304"/>
      <w:bookmarkStart w:id="443" w:name="_Toc31661"/>
      <w:bookmarkStart w:id="444" w:name="_Toc29340"/>
      <w:bookmarkStart w:id="445" w:name="_Toc13838"/>
      <w:bookmarkStart w:id="446" w:name="_Toc154503373"/>
      <w:bookmarkStart w:id="447" w:name="_Toc9407"/>
      <w:bookmarkStart w:id="448" w:name="_Toc25054"/>
      <w:bookmarkStart w:id="449" w:name="_Toc20247"/>
      <w:bookmarkStart w:id="450" w:name="_Toc342913392"/>
      <w:bookmarkStart w:id="451" w:name="_Toc23552"/>
      <w:bookmarkStart w:id="452" w:name="_Toc632"/>
      <w:bookmarkStart w:id="453" w:name="_Toc28796"/>
      <w:bookmarkStart w:id="454" w:name="_Toc76462340"/>
      <w:bookmarkStart w:id="455" w:name="_Toc14191"/>
      <w:bookmarkStart w:id="456" w:name="_Toc145940215"/>
      <w:bookmarkStart w:id="457" w:name="_Toc21811"/>
      <w:bookmarkStart w:id="458" w:name="_Toc179714297"/>
      <w:bookmarkStart w:id="459" w:name="_Toc102227318"/>
      <w:bookmarkStart w:id="460" w:name="_Toc20791"/>
      <w:bookmarkStart w:id="461" w:name="_Toc6100"/>
      <w:bookmarkStart w:id="462" w:name="_Toc11189"/>
      <w:r>
        <w:rPr>
          <w:rFonts w:hint="eastAsia" w:ascii="宋体" w:hAnsi="宋体" w:eastAsia="宋体" w:cs="宋体"/>
          <w:color w:val="000000" w:themeColor="text1"/>
          <w:sz w:val="24"/>
          <w14:textFill>
            <w14:solidFill>
              <w14:schemeClr w14:val="tx1"/>
            </w14:solidFill>
          </w14:textFill>
        </w:rPr>
        <w:t>三、磋商要求</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（二）联合体</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不接受。</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2.磋商小组按上述修正错误的原则及方法修正供应商的报价，供应商同意并签署确认后，修正后的报价对供应商具有约束作用。如果供应商不接受修正后的价格，将失去成为成交供应商的资格。</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（五）提交响应文件的份数和签署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响应文件按竞争性磋商文件“第七篇响应文件编制要求”要求签署或盖章。</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pPr>
        <w:pStyle w:val="30"/>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63" w:name="_Toc3816"/>
      <w:bookmarkStart w:id="464" w:name="_Toc10675"/>
      <w:bookmarkStart w:id="465" w:name="_Toc16815"/>
      <w:bookmarkStart w:id="466" w:name="_Toc6975"/>
      <w:bookmarkStart w:id="467" w:name="_Toc2807"/>
      <w:bookmarkStart w:id="468" w:name="_Toc76462341"/>
      <w:bookmarkStart w:id="469" w:name="_Toc29902"/>
      <w:bookmarkStart w:id="470" w:name="_Toc4255"/>
      <w:bookmarkStart w:id="471" w:name="_Toc145940216"/>
      <w:bookmarkStart w:id="472" w:name="_Toc26891"/>
      <w:bookmarkStart w:id="473" w:name="_Toc28339"/>
      <w:bookmarkStart w:id="474" w:name="_Toc1654"/>
      <w:bookmarkStart w:id="475" w:name="_Toc3211"/>
      <w:bookmarkStart w:id="476" w:name="_Toc4358"/>
      <w:bookmarkStart w:id="477" w:name="_Toc13618"/>
      <w:bookmarkStart w:id="478" w:name="_Toc154503374"/>
      <w:bookmarkStart w:id="479" w:name="_Toc10146"/>
      <w:bookmarkStart w:id="480" w:name="_Toc27253"/>
      <w:bookmarkStart w:id="481" w:name="_Toc6872"/>
      <w:r>
        <w:rPr>
          <w:rFonts w:hint="eastAsia" w:ascii="宋体" w:hAnsi="宋体" w:eastAsia="宋体" w:cs="宋体"/>
          <w:color w:val="000000" w:themeColor="text1"/>
          <w:sz w:val="24"/>
          <w14:textFill>
            <w14:solidFill>
              <w14:schemeClr w14:val="tx1"/>
            </w14:solidFill>
          </w14:textFill>
        </w:rPr>
        <w:t>四、成交供应商的确认和变更</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82" w:name="_Toc1927"/>
      <w:bookmarkStart w:id="483" w:name="_Toc7139"/>
      <w:bookmarkStart w:id="484" w:name="_Toc9729"/>
      <w:bookmarkStart w:id="485" w:name="_Toc17733"/>
      <w:bookmarkStart w:id="486" w:name="_Toc9305"/>
      <w:bookmarkStart w:id="487" w:name="_Toc3600"/>
      <w:bookmarkStart w:id="488" w:name="_Toc342913395"/>
      <w:bookmarkStart w:id="489" w:name="_Toc20539"/>
      <w:bookmarkStart w:id="490" w:name="_Toc102227321"/>
      <w:bookmarkStart w:id="491" w:name="_Toc145940217"/>
      <w:bookmarkStart w:id="492" w:name="_Toc1176"/>
      <w:bookmarkStart w:id="493" w:name="_Toc16227"/>
      <w:bookmarkStart w:id="494" w:name="_Toc5669"/>
      <w:bookmarkStart w:id="495" w:name="_Toc21706"/>
      <w:bookmarkStart w:id="496" w:name="_Toc13900"/>
      <w:bookmarkStart w:id="497" w:name="_Toc7024"/>
      <w:bookmarkStart w:id="498" w:name="_Toc76462342"/>
      <w:bookmarkStart w:id="499" w:name="_Toc4036"/>
      <w:bookmarkStart w:id="500" w:name="_Toc17789"/>
      <w:bookmarkStart w:id="501" w:name="_Toc27893"/>
      <w:bookmarkStart w:id="502" w:name="_Toc154503375"/>
      <w:r>
        <w:rPr>
          <w:rFonts w:hint="eastAsia" w:ascii="宋体" w:hAnsi="宋体" w:eastAsia="宋体" w:cs="宋体"/>
          <w:color w:val="000000" w:themeColor="text1"/>
          <w:sz w:val="24"/>
          <w14:textFill>
            <w14:solidFill>
              <w14:schemeClr w14:val="tx1"/>
            </w14:solidFill>
          </w14:textFill>
        </w:rPr>
        <w:t>五、成交通知</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（一）成交供应商确定后，采购代理机构将在重庆市政府采购网（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14:textFill>
            <w14:solidFill>
              <w14:schemeClr w14:val="tx1"/>
            </w14:solidFill>
          </w14:textFill>
        </w:rPr>
        <w:t>www.ccgp-chongqing.gov.cn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）上发布成交结果公告。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03" w:name="_Toc20445"/>
      <w:bookmarkStart w:id="504" w:name="_Toc27645"/>
      <w:bookmarkStart w:id="505" w:name="_Toc76462343"/>
      <w:bookmarkStart w:id="506" w:name="_Toc7014"/>
      <w:bookmarkStart w:id="507" w:name="_Toc23273"/>
      <w:bookmarkStart w:id="508" w:name="_Toc24711"/>
      <w:bookmarkStart w:id="509" w:name="_Toc15280"/>
      <w:bookmarkStart w:id="510" w:name="_Toc20620"/>
      <w:bookmarkStart w:id="511" w:name="_Toc5629"/>
      <w:bookmarkStart w:id="512" w:name="_Toc154503376"/>
      <w:bookmarkStart w:id="513" w:name="_Toc8117"/>
      <w:bookmarkStart w:id="514" w:name="_Toc26027"/>
      <w:bookmarkStart w:id="515" w:name="_Toc5614"/>
      <w:bookmarkStart w:id="516" w:name="_Toc9500"/>
      <w:bookmarkStart w:id="517" w:name="_Toc19659"/>
      <w:bookmarkStart w:id="518" w:name="_Toc24378"/>
      <w:bookmarkStart w:id="519" w:name="_Toc145940218"/>
      <w:r>
        <w:rPr>
          <w:rFonts w:hint="eastAsia" w:ascii="宋体" w:hAnsi="宋体" w:eastAsia="宋体" w:cs="宋体"/>
          <w:color w:val="000000" w:themeColor="text1"/>
          <w:sz w:val="24"/>
          <w14:textFill>
            <w14:solidFill>
              <w14:schemeClr w14:val="tx1"/>
            </w14:solidFill>
          </w14:textFill>
        </w:rPr>
        <w:t>六、关于质疑和投诉</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供应商认为采购文件、采购过程和成交结果使自己的权益受到伤害的，可向采购人或采购代理机构以书面形式提出质疑。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提出质疑的应当是参与所质疑项目采购活动的供应商。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1.质疑时限、内容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1.2供应商提出质疑应当提交质疑函和必要的证明材料，质疑函应当包括下列内容：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1.2.1供应商的姓名或者名称、地址、邮编、联系人及联系电话；</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1.2.2质疑项目的名称、项目号以及采购执行编号；</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1.2.3具体、明确的质疑事项和与质疑事项相关的请求；</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1.2.4事实依据；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1.2.5必要的法律依据；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1.2.6提出质疑的日期；</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1.2.7营业执照（或事业单位法人证书，或个体工商户营业执照或有效的自然人身份证明）复印件；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2.质疑答复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3.2质疑函范本可在财政部门户网站和中国政府采购网下载。</w:t>
      </w:r>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20" w:name="_Toc32060"/>
      <w:bookmarkStart w:id="521" w:name="_Toc154503377"/>
      <w:bookmarkStart w:id="522" w:name="_Toc16867"/>
      <w:bookmarkStart w:id="523" w:name="_Toc5126"/>
      <w:bookmarkStart w:id="524" w:name="_Toc23425"/>
      <w:bookmarkStart w:id="525" w:name="_Toc7579"/>
      <w:bookmarkStart w:id="526" w:name="_Toc76462344"/>
      <w:bookmarkStart w:id="527" w:name="_Toc145940219"/>
      <w:bookmarkStart w:id="528" w:name="_Toc37"/>
      <w:bookmarkStart w:id="529" w:name="_Toc1476"/>
      <w:bookmarkStart w:id="530" w:name="_Toc17008"/>
      <w:bookmarkStart w:id="531" w:name="_Toc4053"/>
      <w:bookmarkStart w:id="532" w:name="_Toc3474"/>
      <w:bookmarkStart w:id="533" w:name="_Toc5298"/>
      <w:bookmarkStart w:id="534" w:name="_Toc27516"/>
      <w:bookmarkStart w:id="535" w:name="_Toc371"/>
      <w:bookmarkStart w:id="536" w:name="_Toc7063"/>
      <w:bookmarkStart w:id="537" w:name="_Toc19423"/>
      <w:bookmarkStart w:id="538" w:name="_Toc29676"/>
      <w:r>
        <w:rPr>
          <w:rFonts w:hint="eastAsia" w:ascii="宋体" w:hAnsi="宋体" w:eastAsia="宋体" w:cs="宋体"/>
          <w:color w:val="000000" w:themeColor="text1"/>
          <w:sz w:val="24"/>
          <w14:textFill>
            <w14:solidFill>
              <w14:schemeClr w14:val="tx1"/>
            </w14:solidFill>
          </w14:textFill>
        </w:rPr>
        <w:t>七、采购代理服务费</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spacing w:line="400" w:lineRule="exact"/>
        <w:ind w:firstLine="480" w:firstLineChars="200"/>
        <w:rPr>
          <w:rFonts w:ascii="宋体" w:hAnsi="宋体" w:cs="宋体"/>
          <w:b/>
          <w:color w:val="000000" w:themeColor="text1"/>
          <w:sz w:val="24"/>
          <w14:textFill>
            <w14:solidFill>
              <w14:schemeClr w14:val="tx1"/>
            </w14:solidFill>
          </w14:textFill>
        </w:rPr>
      </w:pPr>
      <w:bookmarkStart w:id="539" w:name="OLE_LINK7"/>
      <w:bookmarkStart w:id="540" w:name="OLE_LINK8"/>
      <w:r>
        <w:rPr>
          <w:rFonts w:hint="eastAsia" w:ascii="宋体" w:hAnsi="宋体" w:cs="宋体"/>
          <w:color w:val="000000" w:themeColor="text1"/>
          <w:sz w:val="24"/>
          <w14:textFill>
            <w14:solidFill>
              <w14:schemeClr w14:val="tx1"/>
            </w14:solidFill>
          </w14:textFill>
        </w:rPr>
        <w:t>（一）供应商成交后向采购代理机构缴纳</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代理服务费的收取标准按照以下标准执行: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ind w:firstLine="42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kBSW&#10;8+cBAADW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000000" w:themeColor="text1"/>
                <w:sz w:val="21"/>
                <w:szCs w:val="21"/>
                <w14:textFill>
                  <w14:solidFill>
                    <w14:schemeClr w14:val="tx1"/>
                  </w14:solidFill>
                </w14:textFill>
              </w:rPr>
              <w:t>类型</w:t>
            </w:r>
          </w:p>
          <w:p>
            <w:pPr>
              <w:ind w:right="84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成交金额（万元）</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货物采购</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服务采购</w:t>
            </w:r>
          </w:p>
        </w:tc>
        <w:tc>
          <w:tcPr>
            <w:tcW w:w="2272" w:type="dxa"/>
            <w:vAlign w:val="center"/>
          </w:tcPr>
          <w:p>
            <w:pPr>
              <w:pStyle w:val="135"/>
              <w:widowControl w:val="0"/>
              <w:pBdr>
                <w:left w:val="none" w:color="auto" w:sz="0" w:space="0"/>
                <w:right w:val="none" w:color="auto" w:sz="0" w:space="0"/>
              </w:pBdr>
              <w:spacing w:before="0" w:beforeAutospacing="0" w:after="0" w:afterAutospacing="0"/>
              <w:ind w:firstLine="420"/>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工程</w:t>
            </w:r>
            <w:r>
              <w:rPr>
                <w:rFonts w:hint="eastAsia" w:cs="宋体"/>
                <w:color w:val="000000" w:themeColor="text1"/>
                <w:sz w:val="21"/>
                <w:szCs w:val="21"/>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100以下</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100-200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200-500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1.08%</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0.76%</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1000-5000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5000-10000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10000-100000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1000000以上</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r>
      <w:bookmarkEnd w:id="539"/>
      <w:bookmarkEnd w:id="540"/>
    </w:tbl>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注：代理服务收费按差额定率累进法计算。例如：某服务代理业务成交金额为500万元，计算代理服务收费额如下：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（200-100）万元×0.8%=0.8万元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（500-200）×0.78%=2.34万元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合计收费=1.5+0.8+2.34=4.64（万元）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（二）采购代理服务费缴纳账号：</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  名：重庆国际投资咨询集团有限公司</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开户行：中国工商银行股份有限公司重庆五里店支行</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号：3100023419200023047</w:t>
      </w:r>
    </w:p>
    <w:p>
      <w:pPr>
        <w:snapToGrid w:val="0"/>
        <w:spacing w:line="400" w:lineRule="exact"/>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说明：成交供应商为微型企业且提供服务的均为微型企业的免收采购代理服务费。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41" w:name="_Toc10415"/>
      <w:bookmarkStart w:id="542" w:name="_Toc27944"/>
      <w:bookmarkStart w:id="543" w:name="_Toc17947"/>
      <w:bookmarkStart w:id="544" w:name="_Toc11035"/>
      <w:bookmarkStart w:id="545" w:name="_Toc14543"/>
      <w:bookmarkStart w:id="546" w:name="_Toc27535"/>
      <w:bookmarkStart w:id="547" w:name="_Toc18778"/>
      <w:bookmarkStart w:id="548" w:name="_Toc22546"/>
      <w:bookmarkStart w:id="549" w:name="_Toc19001"/>
      <w:bookmarkStart w:id="550" w:name="_Toc2308"/>
      <w:bookmarkStart w:id="551" w:name="_Toc76462345"/>
      <w:bookmarkStart w:id="552" w:name="_Toc29763"/>
      <w:bookmarkStart w:id="553" w:name="_Toc145940220"/>
      <w:bookmarkStart w:id="554" w:name="_Toc25781"/>
      <w:bookmarkStart w:id="555" w:name="_Toc23480"/>
      <w:bookmarkStart w:id="556" w:name="_Toc154503378"/>
      <w:bookmarkStart w:id="557" w:name="_Toc29371"/>
      <w:bookmarkStart w:id="558" w:name="_Toc29668"/>
      <w:bookmarkStart w:id="559" w:name="_Toc14850"/>
      <w:r>
        <w:rPr>
          <w:rFonts w:hint="eastAsia" w:ascii="宋体" w:hAnsi="宋体" w:eastAsia="宋体" w:cs="宋体"/>
          <w:color w:val="000000" w:themeColor="text1"/>
          <w:sz w:val="24"/>
          <w14:textFill>
            <w14:solidFill>
              <w14:schemeClr w14:val="tx1"/>
            </w14:solidFill>
          </w14:textFill>
        </w:rPr>
        <w:t>八、交易服务费</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供应商成交后</w:t>
      </w:r>
      <w:r>
        <w:rPr>
          <w:rFonts w:hint="eastAsia" w:ascii="宋体" w:hAnsi="宋体" w:cs="宋体"/>
          <w:color w:val="000000" w:themeColor="text1"/>
          <w:sz w:val="24"/>
          <w14:textFill>
            <w14:solidFill>
              <w14:schemeClr w14:val="tx1"/>
            </w14:solidFill>
          </w14:textFill>
        </w:rPr>
        <w:t>向“重庆联合产权交易所集团股份有限公司”缴纳交易服务费，服务费的收取标准按渝发改收费[2023]115号执行。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重庆市公共资源交易中心咨询电话：023-63625633</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60" w:name="_Toc102227322"/>
      <w:bookmarkStart w:id="561" w:name="_Toc2209"/>
      <w:bookmarkStart w:id="562" w:name="_Toc24713"/>
      <w:bookmarkStart w:id="563" w:name="_Toc31502"/>
      <w:bookmarkStart w:id="564" w:name="_Toc17651"/>
      <w:bookmarkStart w:id="565" w:name="_Toc11278"/>
      <w:bookmarkStart w:id="566" w:name="_Toc20308"/>
      <w:bookmarkStart w:id="567" w:name="_Toc7501"/>
      <w:bookmarkStart w:id="568" w:name="_Toc16077"/>
      <w:bookmarkStart w:id="569" w:name="_Toc76462346"/>
      <w:bookmarkStart w:id="570" w:name="_Toc18211"/>
      <w:bookmarkStart w:id="571" w:name="_Toc26629"/>
      <w:bookmarkStart w:id="572" w:name="_Toc8595"/>
      <w:bookmarkStart w:id="573" w:name="_Toc24303"/>
      <w:bookmarkStart w:id="574" w:name="_Toc145940221"/>
      <w:bookmarkStart w:id="575" w:name="_Toc26372"/>
      <w:bookmarkStart w:id="576" w:name="_Toc8704"/>
      <w:bookmarkStart w:id="577" w:name="_Toc154503379"/>
      <w:bookmarkStart w:id="578" w:name="_Toc3327"/>
      <w:bookmarkStart w:id="579" w:name="_Toc17728"/>
      <w:bookmarkStart w:id="580" w:name="_Toc342913396"/>
      <w:r>
        <w:rPr>
          <w:rFonts w:hint="eastAsia" w:ascii="宋体" w:hAnsi="宋体" w:eastAsia="宋体" w:cs="宋体"/>
          <w:color w:val="000000" w:themeColor="text1"/>
          <w:sz w:val="24"/>
          <w14:textFill>
            <w14:solidFill>
              <w14:schemeClr w14:val="tx1"/>
            </w14:solidFill>
          </w14:textFill>
        </w:rPr>
        <w:t>九、签订</w:t>
      </w:r>
      <w:bookmarkEnd w:id="560"/>
      <w:r>
        <w:rPr>
          <w:rFonts w:hint="eastAsia" w:ascii="宋体" w:hAnsi="宋体" w:eastAsia="宋体" w:cs="宋体"/>
          <w:color w:val="000000" w:themeColor="text1"/>
          <w:sz w:val="24"/>
          <w14:textFill>
            <w14:solidFill>
              <w14:schemeClr w14:val="tx1"/>
            </w14:solidFill>
          </w14:textFill>
        </w:rPr>
        <w:t>合同</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（三）竞争性磋商文件、供应商的响应文件及澄清文件等，均为签订政府采购合同的依据。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（四）合同生效条款由供需双方约定，法律、行政法规规定应当办理批准、登记等手续后生效的合同，依照其规定。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（五）合同原则上应按照《重庆市政府采购合同》签订，相关单位要求适用合同通用格式版本的，应按其要求另行签订其他合同。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81" w:name="_Toc30471"/>
      <w:bookmarkStart w:id="582" w:name="_Toc154503380"/>
      <w:bookmarkStart w:id="583" w:name="_Toc145940222"/>
      <w:r>
        <w:rPr>
          <w:rFonts w:hint="eastAsia" w:ascii="宋体" w:hAnsi="宋体" w:eastAsia="宋体" w:cs="宋体"/>
          <w:color w:val="000000" w:themeColor="text1"/>
          <w:sz w:val="24"/>
          <w14:textFill>
            <w14:solidFill>
              <w14:schemeClr w14:val="tx1"/>
            </w14:solidFill>
          </w14:textFill>
        </w:rPr>
        <w:t>十、</w:t>
      </w:r>
      <w:bookmarkEnd w:id="581"/>
      <w:r>
        <w:rPr>
          <w:rFonts w:hint="eastAsia" w:ascii="宋体" w:hAnsi="宋体" w:eastAsia="宋体" w:cs="宋体"/>
          <w:color w:val="000000" w:themeColor="text1"/>
          <w:sz w:val="24"/>
          <w14:textFill>
            <w14:solidFill>
              <w14:schemeClr w14:val="tx1"/>
            </w14:solidFill>
          </w14:textFill>
        </w:rPr>
        <w:t>项目验收</w:t>
      </w:r>
      <w:bookmarkEnd w:id="582"/>
      <w:bookmarkEnd w:id="583"/>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jc w:val="left"/>
        <w:rPr>
          <w:rFonts w:ascii="宋体" w:hAnsi="宋体" w:eastAsia="宋体" w:cs="宋体"/>
          <w:color w:val="000000" w:themeColor="text1"/>
          <w:sz w:val="24"/>
          <w14:textFill>
            <w14:solidFill>
              <w14:schemeClr w14:val="tx1"/>
            </w14:solidFill>
          </w14:textFill>
        </w:rPr>
      </w:pPr>
      <w:bookmarkStart w:id="584" w:name="_Toc16513"/>
      <w:bookmarkStart w:id="585" w:name="_Toc29361"/>
      <w:bookmarkStart w:id="586" w:name="_Toc1728"/>
      <w:bookmarkStart w:id="587" w:name="_Toc15781"/>
      <w:bookmarkStart w:id="588" w:name="_Toc145940223"/>
      <w:bookmarkStart w:id="589" w:name="_Toc11071"/>
      <w:bookmarkStart w:id="590" w:name="_Toc18676"/>
      <w:bookmarkStart w:id="591" w:name="_Toc32592"/>
      <w:bookmarkStart w:id="592" w:name="_Toc2355"/>
      <w:bookmarkStart w:id="593" w:name="_Toc76462347"/>
      <w:bookmarkStart w:id="594" w:name="_Toc22843"/>
      <w:bookmarkStart w:id="595" w:name="_Toc23925"/>
      <w:bookmarkStart w:id="596" w:name="_Toc1276"/>
      <w:bookmarkStart w:id="597" w:name="_Toc154503381"/>
      <w:bookmarkStart w:id="598" w:name="_Toc10155"/>
      <w:bookmarkStart w:id="599" w:name="_Toc27572"/>
      <w:bookmarkStart w:id="600" w:name="_Toc22910"/>
      <w:bookmarkStart w:id="601" w:name="_Toc28018"/>
      <w:bookmarkStart w:id="602" w:name="_Toc24073"/>
      <w:bookmarkStart w:id="603" w:name="_Toc14780"/>
      <w:r>
        <w:rPr>
          <w:rFonts w:hint="eastAsia" w:ascii="宋体" w:hAnsi="宋体" w:eastAsia="宋体" w:cs="宋体"/>
          <w:color w:val="000000" w:themeColor="text1"/>
          <w:sz w:val="24"/>
          <w14:textFill>
            <w14:solidFill>
              <w14:schemeClr w14:val="tx1"/>
            </w14:solidFill>
          </w14:textFill>
        </w:rPr>
        <w:t>十一、政府采购信用融资</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tabs>
          <w:tab w:val="left" w:pos="3360"/>
        </w:tabs>
        <w:ind w:firstLine="482"/>
        <w:rPr>
          <w:rFonts w:cs="宋体"/>
          <w:bCs/>
          <w:color w:val="000000" w:themeColor="text1"/>
          <w:szCs w:val="36"/>
          <w14:textFill>
            <w14:solidFill>
              <w14:schemeClr w14:val="tx1"/>
            </w14:solidFill>
          </w14:textFill>
        </w:rPr>
      </w:pPr>
      <w:r>
        <w:rPr>
          <w:rFonts w:hint="eastAsia" w:cs="宋体"/>
          <w:color w:val="000000" w:themeColor="text1"/>
          <w:sz w:val="24"/>
          <w:szCs w:val="24"/>
          <w14:textFill>
            <w14:solidFill>
              <w14:schemeClr w14:val="tx1"/>
            </w14:solidFill>
          </w14:textFill>
        </w:rPr>
        <w:br w:type="page"/>
      </w:r>
      <w:bookmarkStart w:id="604" w:name="_Toc84"/>
      <w:bookmarkStart w:id="605" w:name="_Toc130"/>
      <w:bookmarkStart w:id="606" w:name="_Toc18101"/>
      <w:bookmarkStart w:id="607" w:name="_Toc17453"/>
      <w:bookmarkStart w:id="608" w:name="_Toc18306"/>
      <w:bookmarkStart w:id="609" w:name="_Toc1411"/>
      <w:bookmarkStart w:id="610" w:name="_Toc1505"/>
      <w:bookmarkStart w:id="611" w:name="_Toc28948"/>
      <w:bookmarkStart w:id="612" w:name="_Toc6967"/>
      <w:bookmarkStart w:id="613" w:name="_Toc229"/>
      <w:bookmarkStart w:id="614" w:name="_Toc424"/>
      <w:bookmarkStart w:id="615" w:name="_Toc18910"/>
      <w:bookmarkStart w:id="616" w:name="_Toc27280"/>
      <w:bookmarkStart w:id="617" w:name="_Toc20965"/>
      <w:bookmarkStart w:id="618" w:name="_Toc150169370"/>
      <w:bookmarkStart w:id="619" w:name="_Toc23229"/>
      <w:bookmarkStart w:id="620" w:name="_Toc154503382"/>
      <w:bookmarkStart w:id="621" w:name="_Toc18187"/>
      <w:bookmarkStart w:id="622" w:name="_Toc76462348"/>
      <w:r>
        <w:rPr>
          <w:rFonts w:hint="eastAsia" w:cs="宋体"/>
          <w:bCs/>
          <w:color w:val="000000" w:themeColor="text1"/>
          <w:szCs w:val="36"/>
          <w14:textFill>
            <w14:solidFill>
              <w14:schemeClr w14:val="tx1"/>
            </w14:solidFill>
          </w14:textFill>
        </w:rPr>
        <w:t xml:space="preserve">第六篇  </w:t>
      </w:r>
      <w:bookmarkEnd w:id="415"/>
      <w:bookmarkEnd w:id="416"/>
      <w:r>
        <w:rPr>
          <w:rFonts w:hint="eastAsia" w:cs="宋体"/>
          <w:bCs/>
          <w:color w:val="000000" w:themeColor="text1"/>
          <w:szCs w:val="36"/>
          <w14:textFill>
            <w14:solidFill>
              <w14:schemeClr w14:val="tx1"/>
            </w14:solidFill>
          </w14:textFill>
        </w:rPr>
        <w:t>政府采购合同</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500" w:lineRule="exact"/>
        <w:ind w:firstLine="883"/>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w:t>
      </w:r>
    </w:p>
    <w:p>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（项目号：     ）</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甲方（需方）：___________________________      计价单位：____________</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乙方（供方）：___________________________      计量单位：_____________</w:t>
      </w:r>
    </w:p>
    <w:p>
      <w:pPr>
        <w:spacing w:line="500" w:lineRule="exact"/>
        <w:rPr>
          <w:rFonts w:ascii="宋体" w:hAnsi="宋体" w:cs="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磋商项目名称</w:t>
            </w:r>
          </w:p>
        </w:tc>
        <w:tc>
          <w:tcPr>
            <w:tcW w:w="98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服务时间</w:t>
            </w:r>
          </w:p>
        </w:tc>
        <w:tc>
          <w:tcPr>
            <w:tcW w:w="1567"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pPr>
              <w:pStyle w:val="32"/>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四、履约保证金：</w:t>
            </w:r>
          </w:p>
          <w:p>
            <w:pPr>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五、违约责任：</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六、其他约定事项：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1.采购文件及其澄清文件、响应文件和承诺是本合同不可分割的部分。</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 需方__份，供方__份，具同等法律效力。</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pPr>
              <w:widowControl/>
              <w:spacing w:line="240" w:lineRule="atLeast"/>
              <w:ind w:firstLine="42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spacing w:line="240" w:lineRule="atLeast"/>
              <w:ind w:firstLine="420"/>
              <w:rPr>
                <w:rFonts w:ascii="宋体" w:hAnsi="宋体" w:cs="宋体"/>
                <w:color w:val="000000" w:themeColor="text1"/>
                <w:sz w:val="21"/>
                <w:szCs w:val="21"/>
                <w14:textFill>
                  <w14:solidFill>
                    <w14:schemeClr w14:val="tx1"/>
                  </w14:solidFill>
                </w14:textFill>
              </w:rPr>
            </w:pPr>
          </w:p>
          <w:p>
            <w:pPr>
              <w:spacing w:line="240" w:lineRule="atLeast"/>
              <w:ind w:firstLine="420"/>
              <w:rPr>
                <w:rFonts w:ascii="宋体" w:hAnsi="宋体" w:cs="宋体"/>
                <w:color w:val="000000" w:themeColor="text1"/>
                <w:sz w:val="2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年   月   日      签约地点：</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2"/>
        <w:tabs>
          <w:tab w:val="left" w:pos="3360"/>
        </w:tabs>
        <w:ind w:firstLine="482"/>
        <w:rPr>
          <w:rFonts w:cs="宋体"/>
          <w:color w:val="000000" w:themeColor="text1"/>
          <w:szCs w:val="36"/>
          <w14:textFill>
            <w14:solidFill>
              <w14:schemeClr w14:val="tx1"/>
            </w14:solidFill>
          </w14:textFill>
        </w:rPr>
      </w:pPr>
      <w:r>
        <w:rPr>
          <w:rFonts w:hint="eastAsia" w:cs="宋体"/>
          <w:color w:val="000000" w:themeColor="text1"/>
          <w:sz w:val="24"/>
          <w14:textFill>
            <w14:solidFill>
              <w14:schemeClr w14:val="tx1"/>
            </w14:solidFill>
          </w14:textFill>
        </w:rPr>
        <w:br w:type="page"/>
      </w:r>
      <w:bookmarkStart w:id="623" w:name="_Hlt41879464"/>
      <w:bookmarkEnd w:id="623"/>
      <w:bookmarkStart w:id="624" w:name="_Toc154503383"/>
      <w:bookmarkStart w:id="625" w:name="_Toc429"/>
      <w:bookmarkStart w:id="626" w:name="_Toc11195"/>
      <w:bookmarkStart w:id="627" w:name="_Toc5150"/>
      <w:bookmarkStart w:id="628" w:name="_Toc2705"/>
      <w:bookmarkStart w:id="629" w:name="_Toc15809"/>
      <w:bookmarkStart w:id="630" w:name="_Toc150169371"/>
      <w:bookmarkStart w:id="631" w:name="_Toc17879"/>
      <w:bookmarkStart w:id="632" w:name="_Toc29379"/>
      <w:bookmarkStart w:id="633" w:name="_Toc19195"/>
      <w:bookmarkStart w:id="634" w:name="_Toc6342"/>
      <w:bookmarkStart w:id="635" w:name="_Toc7605"/>
      <w:bookmarkStart w:id="636" w:name="_Toc23212"/>
      <w:bookmarkStart w:id="637" w:name="_Toc23433"/>
      <w:bookmarkStart w:id="638" w:name="_Toc2393"/>
      <w:bookmarkStart w:id="639" w:name="_Toc27521"/>
      <w:bookmarkStart w:id="640" w:name="_Toc9338"/>
      <w:bookmarkStart w:id="641" w:name="_Toc76462349"/>
      <w:bookmarkStart w:id="642" w:name="_Toc16351"/>
      <w:r>
        <w:rPr>
          <w:rFonts w:hint="eastAsia" w:cs="宋体"/>
          <w:bCs/>
          <w:color w:val="000000" w:themeColor="text1"/>
          <w:szCs w:val="36"/>
          <w14:textFill>
            <w14:solidFill>
              <w14:schemeClr w14:val="tx1"/>
            </w14:solidFill>
          </w14:textFill>
        </w:rPr>
        <w:t>第七篇  响应文件编制要求</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五、其他资料</w:t>
      </w:r>
    </w:p>
    <w:p>
      <w:pPr>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360" w:lineRule="auto"/>
        <w:rPr>
          <w:rFonts w:ascii="宋体" w:hAnsi="宋体" w:cs="宋体"/>
          <w:color w:val="000000" w:themeColor="text1"/>
          <w:sz w:val="24"/>
          <w:szCs w:val="24"/>
          <w:bdr w:val="single" w:color="auto" w:sz="4" w:space="0"/>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43" w:name="_Toc14916"/>
      <w:bookmarkStart w:id="644" w:name="_Toc15773"/>
      <w:bookmarkStart w:id="645" w:name="_Toc150169372"/>
      <w:bookmarkStart w:id="646" w:name="_Toc313008356"/>
      <w:bookmarkStart w:id="647" w:name="_Toc5655"/>
      <w:bookmarkStart w:id="648" w:name="_Toc18885"/>
      <w:bookmarkStart w:id="649" w:name="_Toc313888360"/>
      <w:bookmarkStart w:id="650" w:name="_Toc27684"/>
      <w:bookmarkStart w:id="651" w:name="_Toc76462350"/>
      <w:bookmarkStart w:id="652" w:name="_Toc30801"/>
      <w:bookmarkStart w:id="653" w:name="_Toc16224"/>
      <w:bookmarkStart w:id="654" w:name="_Toc154503384"/>
      <w:bookmarkStart w:id="655" w:name="_Toc32046"/>
      <w:bookmarkStart w:id="656" w:name="_Toc19492"/>
      <w:bookmarkStart w:id="657" w:name="_Toc12292"/>
      <w:bookmarkStart w:id="658" w:name="_Toc17915"/>
      <w:bookmarkStart w:id="659" w:name="_Toc32301"/>
      <w:bookmarkStart w:id="660" w:name="_Toc342913419"/>
      <w:bookmarkStart w:id="661" w:name="_Toc13366"/>
      <w:bookmarkStart w:id="662" w:name="_Toc21652"/>
      <w:bookmarkStart w:id="663" w:name="_Toc31455"/>
      <w:bookmarkStart w:id="664" w:name="_Toc13221"/>
      <w:bookmarkStart w:id="665" w:name="_Toc283382454"/>
      <w:bookmarkStart w:id="666" w:name="_Toc12789073"/>
      <w:r>
        <w:rPr>
          <w:rFonts w:hint="eastAsia" w:ascii="宋体" w:hAnsi="宋体" w:eastAsia="宋体" w:cs="宋体"/>
          <w:color w:val="000000" w:themeColor="text1"/>
          <w:sz w:val="24"/>
          <w14:textFill>
            <w14:solidFill>
              <w14:schemeClr w14:val="tx1"/>
            </w14:solidFill>
          </w14:textFill>
        </w:rPr>
        <w:t>一、经济部分</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bookmarkEnd w:id="665"/>
    <w:bookmarkEnd w:id="666"/>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ind w:firstLine="482"/>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竞争性磋商报价函</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1.愿意按照竞争性磋商文件中的一切要求，提供本项目的服务，初始报价为人民币大写：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；人民币小写：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。以我公司最后报价为准。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cs="宋体"/>
          <w:color w:val="000000" w:themeColor="text1"/>
          <w:sz w:val="24"/>
          <w14:textFill>
            <w14:solidFill>
              <w14:schemeClr w14:val="tx1"/>
            </w14:solidFill>
          </w14:textFill>
        </w:rPr>
        <w:t>重庆联合产权交易所集团股份有限公司缴纳</w:t>
      </w:r>
      <w:r>
        <w:rPr>
          <w:rFonts w:hint="eastAsia" w:ascii="宋体" w:hAnsi="宋体" w:cs="宋体"/>
          <w:color w:val="000000" w:themeColor="text1"/>
          <w:sz w:val="24"/>
          <w:szCs w:val="24"/>
          <w14:textFill>
            <w14:solidFill>
              <w14:schemeClr w14:val="tx1"/>
            </w14:solidFill>
          </w14:textFill>
        </w:rPr>
        <w:t>竞争性磋商文件规定的采购代理服务费和交易服务费。</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pPr>
        <w:snapToGrid w:val="0"/>
        <w:spacing w:line="312" w:lineRule="auto"/>
        <w:ind w:firstLine="480" w:firstLineChars="200"/>
        <w:rPr>
          <w:rFonts w:ascii="宋体" w:hAnsi="宋体" w:cs="宋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55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12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127"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6832" w:type="dxa"/>
            <w:gridSpan w:val="4"/>
          </w:tcPr>
          <w:p>
            <w:pPr>
              <w:ind w:firstLine="420"/>
              <w:rPr>
                <w:rFonts w:ascii="宋体" w:hAnsi="宋体" w:cs="宋体"/>
                <w:color w:val="000000" w:themeColor="text1"/>
                <w:sz w:val="21"/>
                <w:szCs w:val="21"/>
                <w14:textFill>
                  <w14:solidFill>
                    <w14:schemeClr w14:val="tx1"/>
                  </w14:solidFill>
                </w14:textFill>
              </w:rPr>
            </w:pPr>
          </w:p>
        </w:tc>
      </w:tr>
    </w:tbl>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注：1.供应商应完整填写本表。</w:t>
      </w:r>
    </w:p>
    <w:p>
      <w:pPr>
        <w:snapToGrid w:val="0"/>
        <w:spacing w:line="500" w:lineRule="exac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2.该表可扩展</w:t>
      </w:r>
      <w:bookmarkStart w:id="667" w:name="OLE_LINK2"/>
      <w:bookmarkStart w:id="668" w:name="OLE_LINK1"/>
      <w:r>
        <w:rPr>
          <w:rFonts w:hint="eastAsia" w:ascii="宋体" w:hAnsi="宋体" w:cs="宋体"/>
          <w:color w:val="000000" w:themeColor="text1"/>
          <w:sz w:val="24"/>
          <w:szCs w:val="28"/>
          <w14:textFill>
            <w14:solidFill>
              <w14:schemeClr w14:val="tx1"/>
            </w14:solidFill>
          </w14:textFill>
        </w:rPr>
        <w:t>。</w:t>
      </w:r>
      <w:bookmarkEnd w:id="667"/>
      <w:bookmarkEnd w:id="668"/>
    </w:p>
    <w:p>
      <w:pPr>
        <w:pStyle w:val="37"/>
        <w:ind w:firstLine="482"/>
        <w:rPr>
          <w:rFonts w:ascii="宋体" w:hAnsi="宋体" w:cs="宋体"/>
          <w:color w:val="000000" w:themeColor="text1"/>
          <w:szCs w:val="24"/>
          <w14:textFill>
            <w14:solidFill>
              <w14:schemeClr w14:val="tx1"/>
            </w14:solidFill>
          </w14:textFill>
        </w:rPr>
      </w:pPr>
    </w:p>
    <w:p>
      <w:pPr>
        <w:pStyle w:val="37"/>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pPr>
        <w:spacing w:line="360"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360" w:lineRule="auto"/>
        <w:ind w:firstLine="480" w:firstLineChars="200"/>
        <w:rPr>
          <w:rFonts w:ascii="宋体" w:hAnsi="宋体" w:cs="宋体"/>
          <w:color w:val="000000" w:themeColor="text1"/>
          <w:sz w:val="24"/>
          <w:szCs w:val="24"/>
          <w:bdr w:val="single" w:color="auto" w:sz="4" w:space="0"/>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69" w:name="_Toc28779"/>
      <w:bookmarkStart w:id="670" w:name="_Toc16376"/>
      <w:bookmarkStart w:id="671" w:name="_Toc12788"/>
      <w:bookmarkStart w:id="672" w:name="_Toc342913420"/>
      <w:bookmarkStart w:id="673" w:name="_Toc11754"/>
      <w:bookmarkStart w:id="674" w:name="_Toc150169373"/>
      <w:bookmarkStart w:id="675" w:name="_Toc29582"/>
      <w:bookmarkStart w:id="676" w:name="_Toc26593"/>
      <w:bookmarkStart w:id="677" w:name="_Toc18490"/>
      <w:bookmarkStart w:id="678" w:name="_Toc76462351"/>
      <w:bookmarkStart w:id="679" w:name="_Toc19994"/>
      <w:bookmarkStart w:id="680" w:name="_Toc31255"/>
      <w:bookmarkStart w:id="681" w:name="_Toc313008357"/>
      <w:bookmarkStart w:id="682" w:name="_Toc4111"/>
      <w:bookmarkStart w:id="683" w:name="_Toc25494"/>
      <w:bookmarkStart w:id="684" w:name="_Toc7071"/>
      <w:bookmarkStart w:id="685" w:name="_Toc154503385"/>
      <w:bookmarkStart w:id="686" w:name="_Toc23625"/>
      <w:bookmarkStart w:id="687" w:name="_Toc25411"/>
      <w:bookmarkStart w:id="688" w:name="_Toc22313"/>
      <w:bookmarkStart w:id="689" w:name="_Toc313888361"/>
      <w:bookmarkStart w:id="690" w:name="_Toc32746"/>
      <w:r>
        <w:rPr>
          <w:rFonts w:hint="eastAsia" w:ascii="宋体" w:hAnsi="宋体" w:eastAsia="宋体" w:cs="宋体"/>
          <w:color w:val="000000" w:themeColor="text1"/>
          <w:sz w:val="24"/>
          <w14:textFill>
            <w14:solidFill>
              <w14:schemeClr w14:val="tx1"/>
            </w14:solidFill>
          </w14:textFill>
        </w:rPr>
        <w:t>二、服务部分</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tabs>
          <w:tab w:val="left" w:pos="6300"/>
        </w:tabs>
        <w:snapToGrid w:val="0"/>
        <w:spacing w:line="400" w:lineRule="exact"/>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67"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项目服务需求</w:t>
            </w:r>
          </w:p>
        </w:tc>
        <w:tc>
          <w:tcPr>
            <w:tcW w:w="308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309"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09"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bl>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本表即为对本项目“第二篇  项目服务需求”中所列条款进行比较和响应；</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jc w:val="left"/>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560" w:firstLineChars="200"/>
        <w:rPr>
          <w:rFonts w:ascii="宋体" w:hAnsi="宋体" w:cs="宋体"/>
          <w:color w:val="000000" w:themeColor="text1"/>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pStyle w:val="3"/>
        <w:adjustRightInd w:val="0"/>
        <w:snapToGrid w:val="0"/>
        <w:spacing w:before="0" w:after="0" w:line="400" w:lineRule="exact"/>
        <w:ind w:firstLine="64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bookmarkStart w:id="691" w:name="_Toc520"/>
      <w:bookmarkStart w:id="692" w:name="_Toc19297"/>
      <w:bookmarkStart w:id="693" w:name="_Toc573"/>
      <w:bookmarkStart w:id="694" w:name="_Toc6238"/>
      <w:bookmarkStart w:id="695" w:name="_Toc29761"/>
      <w:bookmarkStart w:id="696" w:name="_Toc2576"/>
      <w:bookmarkStart w:id="697" w:name="_Toc313008358"/>
      <w:bookmarkStart w:id="698" w:name="_Toc28240"/>
      <w:bookmarkStart w:id="699" w:name="_Toc313888362"/>
      <w:bookmarkStart w:id="700" w:name="_Toc29841"/>
      <w:bookmarkStart w:id="701" w:name="_Toc28099"/>
      <w:bookmarkStart w:id="702" w:name="_Toc26398"/>
      <w:bookmarkStart w:id="703" w:name="_Toc342913421"/>
      <w:bookmarkStart w:id="704" w:name="_Toc21216"/>
      <w:bookmarkStart w:id="705" w:name="_Toc21538"/>
      <w:bookmarkStart w:id="706" w:name="_Toc150169374"/>
      <w:bookmarkStart w:id="707" w:name="_Toc22505"/>
      <w:bookmarkStart w:id="708" w:name="_Toc9936"/>
      <w:bookmarkStart w:id="709" w:name="_Toc154503386"/>
      <w:bookmarkStart w:id="710" w:name="_Toc76462352"/>
      <w:bookmarkStart w:id="711" w:name="_Toc9093"/>
      <w:bookmarkStart w:id="712" w:name="_Toc26647"/>
      <w:r>
        <w:rPr>
          <w:rFonts w:hint="eastAsia" w:ascii="宋体" w:hAnsi="宋体" w:eastAsia="宋体" w:cs="宋体"/>
          <w:color w:val="000000" w:themeColor="text1"/>
          <w:sz w:val="24"/>
          <w14:textFill>
            <w14:solidFill>
              <w14:schemeClr w14:val="tx1"/>
            </w14:solidFill>
          </w14:textFill>
        </w:rPr>
        <w:t>三、商务部分</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jc w:val="center"/>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项目商务需求</w:t>
            </w:r>
          </w:p>
        </w:tc>
        <w:tc>
          <w:tcPr>
            <w:tcW w:w="2434"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bl>
    <w:p>
      <w:pPr>
        <w:snapToGrid w:val="0"/>
        <w:spacing w:line="360" w:lineRule="auto"/>
        <w:ind w:firstLine="480"/>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本表即为对本项目“第三篇  项目商务需求”中所列条款进行比较和响应；</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bookmarkStart w:id="713" w:name="_Toc283382459"/>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312" w:lineRule="auto"/>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
        <w:adjustRightInd w:val="0"/>
        <w:snapToGrid w:val="0"/>
        <w:spacing w:before="0" w:after="0" w:line="400" w:lineRule="exact"/>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713"/>
      <w:bookmarkStart w:id="714" w:name="_Toc6268"/>
      <w:bookmarkStart w:id="715" w:name="_Toc22916"/>
      <w:bookmarkStart w:id="716" w:name="_Toc23426"/>
      <w:bookmarkStart w:id="717" w:name="_Toc19652"/>
      <w:bookmarkStart w:id="718" w:name="_Toc21368"/>
      <w:bookmarkStart w:id="719" w:name="_Toc4499"/>
      <w:bookmarkStart w:id="720" w:name="_Toc10729"/>
      <w:bookmarkStart w:id="721" w:name="_Toc342913422"/>
      <w:bookmarkStart w:id="722" w:name="_Toc6829"/>
      <w:bookmarkStart w:id="723" w:name="_Toc10514"/>
      <w:bookmarkStart w:id="724" w:name="_Toc20384"/>
      <w:bookmarkStart w:id="725" w:name="_Toc9472"/>
      <w:bookmarkStart w:id="726" w:name="_Toc25332"/>
      <w:bookmarkStart w:id="727" w:name="_Toc190"/>
      <w:bookmarkStart w:id="728" w:name="_Toc12319"/>
      <w:bookmarkStart w:id="729" w:name="_Toc1742"/>
      <w:bookmarkStart w:id="730" w:name="_Toc313008359"/>
      <w:bookmarkStart w:id="731" w:name="_Toc313888363"/>
      <w:bookmarkStart w:id="732" w:name="_Toc76462353"/>
      <w:bookmarkStart w:id="733" w:name="_Toc150169375"/>
      <w:bookmarkStart w:id="734" w:name="_Toc28090"/>
      <w:bookmarkStart w:id="735" w:name="_Toc154503387"/>
      <w:r>
        <w:rPr>
          <w:rFonts w:hint="eastAsia" w:ascii="宋体" w:hAnsi="宋体" w:eastAsia="宋体" w:cs="宋体"/>
          <w:color w:val="000000" w:themeColor="text1"/>
          <w:sz w:val="24"/>
          <w14:textFill>
            <w14:solidFill>
              <w14:schemeClr w14:val="tx1"/>
            </w14:solidFill>
          </w14:textFill>
        </w:rPr>
        <w:t>四、资格条件</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宋体" w:hAnsi="宋体" w:eastAsia="宋体" w:cs="宋体"/>
          <w:color w:val="000000" w:themeColor="text1"/>
          <w:sz w:val="24"/>
          <w14:textFill>
            <w14:solidFill>
              <w14:schemeClr w14:val="tx1"/>
            </w14:solidFill>
          </w14:textFill>
        </w:rPr>
        <w:t>及其他</w:t>
      </w:r>
      <w:bookmarkEnd w:id="733"/>
      <w:bookmarkEnd w:id="734"/>
      <w:bookmarkEnd w:id="735"/>
    </w:p>
    <w:p>
      <w:pPr>
        <w:tabs>
          <w:tab w:val="left" w:pos="6300"/>
        </w:tabs>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（二）法定代表人身份证明书（格式）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磋商项目名称：</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（职务名称）职务，是（供应商名称）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（三）法定代表人授权委托书（格式）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w:t>
      </w:r>
      <w:r>
        <w:rPr>
          <w:rFonts w:hint="eastAsia" w:ascii="宋体" w:hAnsi="宋体" w:cs="宋体"/>
          <w:color w:val="000000" w:themeColor="text1"/>
          <w:sz w:val="24"/>
          <w:szCs w:val="28"/>
          <w14:textFill>
            <w14:solidFill>
              <w14:schemeClr w14:val="tx1"/>
            </w14:solidFill>
          </w14:textFill>
        </w:rPr>
        <w:t>签署</w:t>
      </w:r>
      <w:r>
        <w:rPr>
          <w:rFonts w:hint="eastAsia" w:ascii="宋体" w:hAnsi="宋体" w:cs="宋体"/>
          <w:color w:val="000000" w:themeColor="text1"/>
          <w:sz w:val="24"/>
          <w14:textFill>
            <w14:solidFill>
              <w14:schemeClr w14:val="tx1"/>
            </w14:solidFill>
          </w14:textFill>
        </w:rPr>
        <w:t>负全部责任。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（签署或盖章）                                （签署或盖章）</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注：若为法定代表人办理并签署响应文件的，不提供此文件。</w:t>
      </w:r>
    </w:p>
    <w:p>
      <w:pPr>
        <w:tabs>
          <w:tab w:val="left" w:pos="6300"/>
        </w:tabs>
        <w:snapToGrid w:val="0"/>
        <w:spacing w:line="5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（四）基本资格条件承诺函</w:t>
      </w:r>
    </w:p>
    <w:p>
      <w:pPr>
        <w:tabs>
          <w:tab w:val="left" w:pos="6300"/>
        </w:tabs>
        <w:snapToGrid w:val="0"/>
        <w:spacing w:line="500" w:lineRule="exact"/>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基本资格条件承诺函</w:t>
      </w:r>
    </w:p>
    <w:p>
      <w:pPr>
        <w:tabs>
          <w:tab w:val="left" w:pos="6300"/>
        </w:tabs>
        <w:snapToGrid w:val="0"/>
        <w:spacing w:line="530" w:lineRule="exact"/>
        <w:rPr>
          <w:color w:val="000000" w:themeColor="text1"/>
          <w:sz w:val="24"/>
          <w14:textFill>
            <w14:solidFill>
              <w14:schemeClr w14:val="tx1"/>
            </w14:solidFill>
          </w14:textFill>
        </w:rPr>
      </w:pP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p>
    <w:p>
      <w:pPr>
        <w:tabs>
          <w:tab w:val="left" w:pos="6300"/>
        </w:tabs>
        <w:snapToGrid w:val="0"/>
        <w:spacing w:line="530" w:lineRule="exact"/>
        <w:ind w:right="424"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pPr>
        <w:tabs>
          <w:tab w:val="left" w:pos="6300"/>
        </w:tabs>
        <w:snapToGrid w:val="0"/>
        <w:spacing w:line="500" w:lineRule="exact"/>
        <w:ind w:firstLine="7442" w:firstLineChars="31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400" w:lineRule="exact"/>
        <w:ind w:firstLine="562" w:firstLineChars="200"/>
        <w:rPr>
          <w:rFonts w:ascii="宋体" w:hAnsi="宋体" w:cs="宋体"/>
          <w:color w:val="000000" w:themeColor="text1"/>
          <w:sz w:val="24"/>
          <w14:textFill>
            <w14:solidFill>
              <w14:schemeClr w14:val="tx1"/>
            </w14:solidFill>
          </w14:textFill>
        </w:rPr>
      </w:pPr>
      <w:bookmarkStart w:id="736" w:name="_Toc14422"/>
      <w:r>
        <w:rPr>
          <w:rFonts w:hint="eastAsia" w:ascii="宋体" w:hAnsi="宋体" w:cs="宋体"/>
          <w:b/>
          <w:color w:val="000000" w:themeColor="text1"/>
          <w14:textFill>
            <w14:solidFill>
              <w14:schemeClr w14:val="tx1"/>
            </w14:solidFill>
          </w14:textFill>
        </w:rPr>
        <w:br w:type="page"/>
      </w:r>
      <w:bookmarkStart w:id="737" w:name="_Toc5287"/>
      <w:bookmarkStart w:id="738" w:name="_Toc20899"/>
      <w:bookmarkStart w:id="739" w:name="_Toc76462354"/>
      <w:bookmarkStart w:id="740" w:name="_Toc20423"/>
      <w:bookmarkStart w:id="741" w:name="_Toc6349"/>
      <w:bookmarkStart w:id="742" w:name="_Toc15507"/>
      <w:bookmarkStart w:id="743" w:name="_Toc7266"/>
      <w:bookmarkStart w:id="744" w:name="_Toc2044"/>
      <w:bookmarkStart w:id="745" w:name="_Toc3994"/>
      <w:bookmarkStart w:id="746" w:name="_Toc12029"/>
      <w:bookmarkStart w:id="747" w:name="_Toc3613"/>
      <w:bookmarkStart w:id="748" w:name="_Toc29174"/>
      <w:bookmarkStart w:id="749" w:name="_Toc16255"/>
      <w:bookmarkStart w:id="750" w:name="_Toc6831"/>
      <w:bookmarkStart w:id="751" w:name="_Toc4342"/>
      <w:bookmarkStart w:id="752" w:name="_Toc19623"/>
      <w:bookmarkStart w:id="753" w:name="_Toc20080"/>
      <w:r>
        <w:rPr>
          <w:rFonts w:hint="eastAsia" w:ascii="宋体" w:hAnsi="宋体" w:cs="宋体"/>
          <w:color w:val="000000" w:themeColor="text1"/>
          <w:sz w:val="24"/>
          <w14:textFill>
            <w14:solidFill>
              <w14:schemeClr w14:val="tx1"/>
            </w14:solidFill>
          </w14:textFill>
        </w:rPr>
        <w:t>五、其他资料</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tabs>
          <w:tab w:val="left" w:pos="6300"/>
        </w:tabs>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中小企业声明函</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本公司郑重声明，根据《政府采购促进中小企业发展管理办法》（</w:t>
      </w:r>
      <w:r>
        <w:rPr>
          <w:rFonts w:hint="eastAsia" w:ascii="宋体" w:hAnsi="宋体" w:cs="宋体"/>
          <w:color w:val="000000" w:themeColor="text1"/>
          <w:sz w:val="24"/>
          <w:szCs w:val="24"/>
          <w14:textFill>
            <w14:solidFill>
              <w14:schemeClr w14:val="tx1"/>
            </w14:solidFill>
          </w14:textFill>
        </w:rPr>
        <w:t>财库〔2020〕46号</w:t>
      </w:r>
      <w:r>
        <w:rPr>
          <w:rFonts w:hint="eastAsia" w:ascii="宋体" w:hAnsi="宋体" w:cs="宋体"/>
          <w:color w:val="000000" w:themeColor="text1"/>
          <w:sz w:val="24"/>
          <w:szCs w:val="28"/>
          <w14:textFill>
            <w14:solidFill>
              <w14:schemeClr w14:val="tx1"/>
            </w14:solidFill>
          </w14:textFill>
        </w:rPr>
        <w:t>）的规定，本公司参加</w:t>
      </w:r>
      <w:r>
        <w:rPr>
          <w:rFonts w:hint="eastAsia" w:ascii="宋体" w:hAnsi="宋体" w:cs="宋体"/>
          <w:i/>
          <w:color w:val="000000" w:themeColor="text1"/>
          <w:sz w:val="24"/>
          <w:szCs w:val="28"/>
          <w:u w:val="single"/>
          <w14:textFill>
            <w14:solidFill>
              <w14:schemeClr w14:val="tx1"/>
            </w14:solidFill>
          </w14:textFill>
        </w:rPr>
        <w:t>（采购人单位名称）</w:t>
      </w:r>
      <w:r>
        <w:rPr>
          <w:rFonts w:hint="eastAsia" w:ascii="宋体" w:hAnsi="宋体" w:cs="宋体"/>
          <w:color w:val="000000" w:themeColor="text1"/>
          <w:sz w:val="24"/>
          <w:szCs w:val="28"/>
          <w14:textFill>
            <w14:solidFill>
              <w14:schemeClr w14:val="tx1"/>
            </w14:solidFill>
          </w14:textFill>
        </w:rPr>
        <w:t>的</w:t>
      </w:r>
      <w:r>
        <w:rPr>
          <w:rFonts w:hint="eastAsia" w:ascii="宋体" w:hAnsi="宋体" w:cs="宋体"/>
          <w:i/>
          <w:color w:val="000000" w:themeColor="text1"/>
          <w:sz w:val="24"/>
          <w:szCs w:val="28"/>
          <w:u w:val="single"/>
          <w14:textFill>
            <w14:solidFill>
              <w14:schemeClr w14:val="tx1"/>
            </w14:solidFill>
          </w14:textFill>
        </w:rPr>
        <w:t>（项目名称）</w:t>
      </w:r>
      <w:r>
        <w:rPr>
          <w:rFonts w:hint="eastAsia" w:ascii="宋体" w:hAnsi="宋体" w:cs="宋体"/>
          <w:color w:val="000000" w:themeColor="text1"/>
          <w:sz w:val="24"/>
          <w:szCs w:val="28"/>
          <w14:textFill>
            <w14:solidFill>
              <w14:schemeClr w14:val="tx1"/>
            </w14:solidFill>
          </w14:textFill>
        </w:rPr>
        <w:t>采购活动，服务全部由符合政策要求的中小企业承接。相关企业的具体情况如下：</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w:t>
      </w:r>
      <w:r>
        <w:rPr>
          <w:rFonts w:hint="eastAsia" w:ascii="宋体" w:hAnsi="宋体" w:cs="宋体"/>
          <w:i/>
          <w:color w:val="000000" w:themeColor="text1"/>
          <w:sz w:val="24"/>
          <w:szCs w:val="28"/>
          <w:u w:val="single"/>
          <w14:textFill>
            <w14:solidFill>
              <w14:schemeClr w14:val="tx1"/>
            </w14:solidFill>
          </w14:textFill>
        </w:rPr>
        <w:t>（标的名称）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r>
        <w:rPr>
          <w:rFonts w:hint="eastAsia" w:ascii="宋体" w:hAnsi="宋体" w:cs="宋体"/>
          <w:i/>
          <w:color w:val="000000" w:themeColor="text1"/>
          <w:sz w:val="24"/>
          <w:szCs w:val="28"/>
          <w:u w:val="single"/>
          <w14:textFill>
            <w14:solidFill>
              <w14:schemeClr w14:val="tx1"/>
            </w14:solidFill>
          </w14:textFill>
        </w:rPr>
        <w:t xml:space="preserve"> （标的名称）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pPr>
        <w:tabs>
          <w:tab w:val="left" w:pos="6300"/>
        </w:tabs>
        <w:snapToGrid w:val="0"/>
        <w:spacing w:line="500" w:lineRule="exact"/>
        <w:ind w:firstLine="6120" w:firstLineChars="25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企业名称（盖章）： </w:t>
      </w:r>
    </w:p>
    <w:p>
      <w:pPr>
        <w:tabs>
          <w:tab w:val="left" w:pos="6300"/>
        </w:tabs>
        <w:snapToGrid w:val="0"/>
        <w:spacing w:line="500" w:lineRule="exact"/>
        <w:ind w:right="784" w:firstLine="6120" w:firstLineChars="2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日期：</w:t>
      </w:r>
    </w:p>
    <w:p>
      <w:pPr>
        <w:tabs>
          <w:tab w:val="left" w:pos="6300"/>
        </w:tabs>
        <w:snapToGrid w:val="0"/>
        <w:ind w:firstLine="42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填写时应注意以下事项：</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4.</w:t>
      </w:r>
      <w:r>
        <w:rPr>
          <w:rFonts w:hint="eastAsia" w:ascii="宋体" w:hAnsi="宋体" w:cs="宋体"/>
          <w:b/>
          <w:color w:val="000000" w:themeColor="text1"/>
          <w:kern w:val="0"/>
          <w:sz w:val="21"/>
          <w:szCs w:val="21"/>
          <w:u w:val="single"/>
          <w14:textFill>
            <w14:solidFill>
              <w14:schemeClr w14:val="tx1"/>
            </w14:solidFill>
          </w14:textFill>
        </w:rPr>
        <w:t>本声明函“企业名称（盖章）”处为参加磋商的供应商盖章。</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注：各行业划型标准：</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监狱企业证明文件</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残疾人福利性单位声明函</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残疾人福利性单位名称（盖章）：</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若成交供应商为残疾人福利性单位的，将在结果公告时公告其《残疾人福利性单位声明函》。</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其他与项目有关的资料（自附）：供应商总体情况介绍、其他与本项目有关的资料等。</w:t>
      </w: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4"/>
      </w:rPr>
      <w:t xml:space="preserve">  重庆市政府采购中心</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0"/>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9954"/>
    <w:multiLevelType w:val="singleLevel"/>
    <w:tmpl w:val="90FB9954"/>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1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5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jZiMjU3MzExY2I1ZmZhM2U1ZDY4NGE2NmYwYWYifQ=="/>
    <w:docVar w:name="KGWebUrl" w:val="http://10.10.10.15/seeyon/officeservlet"/>
  </w:docVars>
  <w:rsids>
    <w:rsidRoot w:val="00172A27"/>
    <w:rsid w:val="00001496"/>
    <w:rsid w:val="000014C5"/>
    <w:rsid w:val="00002AE4"/>
    <w:rsid w:val="00003626"/>
    <w:rsid w:val="000040DE"/>
    <w:rsid w:val="000058DF"/>
    <w:rsid w:val="000070F0"/>
    <w:rsid w:val="000075E8"/>
    <w:rsid w:val="00011B4B"/>
    <w:rsid w:val="00014747"/>
    <w:rsid w:val="00016B79"/>
    <w:rsid w:val="00017816"/>
    <w:rsid w:val="0001783C"/>
    <w:rsid w:val="00021BAD"/>
    <w:rsid w:val="000270E1"/>
    <w:rsid w:val="00031589"/>
    <w:rsid w:val="00032103"/>
    <w:rsid w:val="00032ACA"/>
    <w:rsid w:val="0003632F"/>
    <w:rsid w:val="00041639"/>
    <w:rsid w:val="00043835"/>
    <w:rsid w:val="00045742"/>
    <w:rsid w:val="0004739C"/>
    <w:rsid w:val="00051E02"/>
    <w:rsid w:val="000523C9"/>
    <w:rsid w:val="0005298B"/>
    <w:rsid w:val="0005417C"/>
    <w:rsid w:val="00055D12"/>
    <w:rsid w:val="000576E1"/>
    <w:rsid w:val="00061A7C"/>
    <w:rsid w:val="00063981"/>
    <w:rsid w:val="0006464A"/>
    <w:rsid w:val="0006661F"/>
    <w:rsid w:val="0006762E"/>
    <w:rsid w:val="00067D3A"/>
    <w:rsid w:val="00071C44"/>
    <w:rsid w:val="00073669"/>
    <w:rsid w:val="00074C38"/>
    <w:rsid w:val="00076B0C"/>
    <w:rsid w:val="00077AD3"/>
    <w:rsid w:val="000816AD"/>
    <w:rsid w:val="00090C5A"/>
    <w:rsid w:val="00091B1C"/>
    <w:rsid w:val="00091D22"/>
    <w:rsid w:val="00097758"/>
    <w:rsid w:val="000A0032"/>
    <w:rsid w:val="000A0BAE"/>
    <w:rsid w:val="000A164E"/>
    <w:rsid w:val="000A3057"/>
    <w:rsid w:val="000A3D68"/>
    <w:rsid w:val="000B1068"/>
    <w:rsid w:val="000B3002"/>
    <w:rsid w:val="000B42F4"/>
    <w:rsid w:val="000B5C4D"/>
    <w:rsid w:val="000B7377"/>
    <w:rsid w:val="000B7F54"/>
    <w:rsid w:val="000C08BC"/>
    <w:rsid w:val="000C08C1"/>
    <w:rsid w:val="000C0E0F"/>
    <w:rsid w:val="000C1E0E"/>
    <w:rsid w:val="000C20E6"/>
    <w:rsid w:val="000C2C03"/>
    <w:rsid w:val="000C6D89"/>
    <w:rsid w:val="000D3DBE"/>
    <w:rsid w:val="000D6EF8"/>
    <w:rsid w:val="000D776F"/>
    <w:rsid w:val="000E01C9"/>
    <w:rsid w:val="000E0C91"/>
    <w:rsid w:val="000E0DD7"/>
    <w:rsid w:val="000E1B06"/>
    <w:rsid w:val="000E1FA7"/>
    <w:rsid w:val="000E3259"/>
    <w:rsid w:val="000E416C"/>
    <w:rsid w:val="000E4835"/>
    <w:rsid w:val="000E5AB0"/>
    <w:rsid w:val="000E5D04"/>
    <w:rsid w:val="000F0ED3"/>
    <w:rsid w:val="000F64D7"/>
    <w:rsid w:val="000F7738"/>
    <w:rsid w:val="000F7DBF"/>
    <w:rsid w:val="0010014A"/>
    <w:rsid w:val="00100639"/>
    <w:rsid w:val="0010088E"/>
    <w:rsid w:val="00101EA2"/>
    <w:rsid w:val="001028FD"/>
    <w:rsid w:val="001039AF"/>
    <w:rsid w:val="00104122"/>
    <w:rsid w:val="00105638"/>
    <w:rsid w:val="0010716D"/>
    <w:rsid w:val="00111394"/>
    <w:rsid w:val="001140DC"/>
    <w:rsid w:val="001141E3"/>
    <w:rsid w:val="00114CFE"/>
    <w:rsid w:val="00115337"/>
    <w:rsid w:val="001166B8"/>
    <w:rsid w:val="0011683E"/>
    <w:rsid w:val="00116856"/>
    <w:rsid w:val="00116C42"/>
    <w:rsid w:val="0011780F"/>
    <w:rsid w:val="00117B26"/>
    <w:rsid w:val="00117B68"/>
    <w:rsid w:val="00120259"/>
    <w:rsid w:val="001219DE"/>
    <w:rsid w:val="00122F07"/>
    <w:rsid w:val="00122F9D"/>
    <w:rsid w:val="0012448D"/>
    <w:rsid w:val="001264A8"/>
    <w:rsid w:val="001266BF"/>
    <w:rsid w:val="00127D05"/>
    <w:rsid w:val="00131A39"/>
    <w:rsid w:val="00133D16"/>
    <w:rsid w:val="00134037"/>
    <w:rsid w:val="001342AC"/>
    <w:rsid w:val="00134366"/>
    <w:rsid w:val="00135BAE"/>
    <w:rsid w:val="001364C0"/>
    <w:rsid w:val="00141571"/>
    <w:rsid w:val="00142174"/>
    <w:rsid w:val="00145224"/>
    <w:rsid w:val="00146EC3"/>
    <w:rsid w:val="00147FB4"/>
    <w:rsid w:val="0015011C"/>
    <w:rsid w:val="0015033B"/>
    <w:rsid w:val="00150429"/>
    <w:rsid w:val="001523C5"/>
    <w:rsid w:val="00152B00"/>
    <w:rsid w:val="00152CAD"/>
    <w:rsid w:val="00153556"/>
    <w:rsid w:val="00155E89"/>
    <w:rsid w:val="001574B0"/>
    <w:rsid w:val="0016058A"/>
    <w:rsid w:val="00162C97"/>
    <w:rsid w:val="00171E05"/>
    <w:rsid w:val="00172A27"/>
    <w:rsid w:val="00172DB6"/>
    <w:rsid w:val="001762FA"/>
    <w:rsid w:val="00180852"/>
    <w:rsid w:val="00180ACB"/>
    <w:rsid w:val="00181A6C"/>
    <w:rsid w:val="00181ABB"/>
    <w:rsid w:val="00183B60"/>
    <w:rsid w:val="00186623"/>
    <w:rsid w:val="001879FD"/>
    <w:rsid w:val="00187ECB"/>
    <w:rsid w:val="00193964"/>
    <w:rsid w:val="0019571D"/>
    <w:rsid w:val="0019575F"/>
    <w:rsid w:val="001963A2"/>
    <w:rsid w:val="00196465"/>
    <w:rsid w:val="001A0272"/>
    <w:rsid w:val="001A0EC3"/>
    <w:rsid w:val="001A1169"/>
    <w:rsid w:val="001A1A3B"/>
    <w:rsid w:val="001A1B93"/>
    <w:rsid w:val="001A3EAA"/>
    <w:rsid w:val="001A64A1"/>
    <w:rsid w:val="001A6DCC"/>
    <w:rsid w:val="001A773E"/>
    <w:rsid w:val="001B0396"/>
    <w:rsid w:val="001B1400"/>
    <w:rsid w:val="001B3DBD"/>
    <w:rsid w:val="001B4377"/>
    <w:rsid w:val="001C1F93"/>
    <w:rsid w:val="001D0DF7"/>
    <w:rsid w:val="001D1038"/>
    <w:rsid w:val="001D165D"/>
    <w:rsid w:val="001D2321"/>
    <w:rsid w:val="001D2DCD"/>
    <w:rsid w:val="001D49A1"/>
    <w:rsid w:val="001D4B8A"/>
    <w:rsid w:val="001D5055"/>
    <w:rsid w:val="001D630C"/>
    <w:rsid w:val="001D7044"/>
    <w:rsid w:val="001E1A2F"/>
    <w:rsid w:val="001E201B"/>
    <w:rsid w:val="001E3F8C"/>
    <w:rsid w:val="001E53FE"/>
    <w:rsid w:val="001E5CAC"/>
    <w:rsid w:val="001E64A9"/>
    <w:rsid w:val="001E6841"/>
    <w:rsid w:val="001E725F"/>
    <w:rsid w:val="001F1AF7"/>
    <w:rsid w:val="001F27D6"/>
    <w:rsid w:val="001F4964"/>
    <w:rsid w:val="001F4A96"/>
    <w:rsid w:val="001F4A9B"/>
    <w:rsid w:val="001F5AE1"/>
    <w:rsid w:val="001F60E3"/>
    <w:rsid w:val="001F6F02"/>
    <w:rsid w:val="001F7063"/>
    <w:rsid w:val="002015AD"/>
    <w:rsid w:val="00202B04"/>
    <w:rsid w:val="00203052"/>
    <w:rsid w:val="00204936"/>
    <w:rsid w:val="00206AE4"/>
    <w:rsid w:val="0020790D"/>
    <w:rsid w:val="002100EE"/>
    <w:rsid w:val="00210168"/>
    <w:rsid w:val="00210ED7"/>
    <w:rsid w:val="00212A06"/>
    <w:rsid w:val="00214E7A"/>
    <w:rsid w:val="00215DEE"/>
    <w:rsid w:val="0021618E"/>
    <w:rsid w:val="00216B6B"/>
    <w:rsid w:val="0021704D"/>
    <w:rsid w:val="002216C7"/>
    <w:rsid w:val="00222097"/>
    <w:rsid w:val="002227DB"/>
    <w:rsid w:val="0022357A"/>
    <w:rsid w:val="00224A96"/>
    <w:rsid w:val="00227202"/>
    <w:rsid w:val="00227377"/>
    <w:rsid w:val="00227448"/>
    <w:rsid w:val="00227851"/>
    <w:rsid w:val="00234257"/>
    <w:rsid w:val="002348E0"/>
    <w:rsid w:val="00235729"/>
    <w:rsid w:val="002360FB"/>
    <w:rsid w:val="00243618"/>
    <w:rsid w:val="00243A9E"/>
    <w:rsid w:val="002443F8"/>
    <w:rsid w:val="002444DD"/>
    <w:rsid w:val="00252BD6"/>
    <w:rsid w:val="00253BA2"/>
    <w:rsid w:val="00254E1A"/>
    <w:rsid w:val="00262555"/>
    <w:rsid w:val="002643C1"/>
    <w:rsid w:val="00264F1F"/>
    <w:rsid w:val="00265203"/>
    <w:rsid w:val="00265B1F"/>
    <w:rsid w:val="00267EFD"/>
    <w:rsid w:val="00270223"/>
    <w:rsid w:val="0027199E"/>
    <w:rsid w:val="00271D47"/>
    <w:rsid w:val="002721EA"/>
    <w:rsid w:val="002763FB"/>
    <w:rsid w:val="002771D1"/>
    <w:rsid w:val="00277389"/>
    <w:rsid w:val="00277957"/>
    <w:rsid w:val="00280E8A"/>
    <w:rsid w:val="00285164"/>
    <w:rsid w:val="002855B0"/>
    <w:rsid w:val="00286959"/>
    <w:rsid w:val="00287021"/>
    <w:rsid w:val="002871D4"/>
    <w:rsid w:val="00292934"/>
    <w:rsid w:val="00293A78"/>
    <w:rsid w:val="00295FA5"/>
    <w:rsid w:val="002961A1"/>
    <w:rsid w:val="00296547"/>
    <w:rsid w:val="00297A6F"/>
    <w:rsid w:val="002A4563"/>
    <w:rsid w:val="002A4956"/>
    <w:rsid w:val="002A6710"/>
    <w:rsid w:val="002A7778"/>
    <w:rsid w:val="002B09D6"/>
    <w:rsid w:val="002B1FDA"/>
    <w:rsid w:val="002B578B"/>
    <w:rsid w:val="002B5ECC"/>
    <w:rsid w:val="002B70D6"/>
    <w:rsid w:val="002B7682"/>
    <w:rsid w:val="002B7904"/>
    <w:rsid w:val="002C2507"/>
    <w:rsid w:val="002C2BD0"/>
    <w:rsid w:val="002C2E6E"/>
    <w:rsid w:val="002C3A3D"/>
    <w:rsid w:val="002C6043"/>
    <w:rsid w:val="002C7927"/>
    <w:rsid w:val="002D204B"/>
    <w:rsid w:val="002D3CA4"/>
    <w:rsid w:val="002D41FF"/>
    <w:rsid w:val="002D608F"/>
    <w:rsid w:val="002D6F1C"/>
    <w:rsid w:val="002D7053"/>
    <w:rsid w:val="002D7208"/>
    <w:rsid w:val="002D7286"/>
    <w:rsid w:val="002D7725"/>
    <w:rsid w:val="002E0CC2"/>
    <w:rsid w:val="002E3527"/>
    <w:rsid w:val="002E3824"/>
    <w:rsid w:val="002E51BA"/>
    <w:rsid w:val="002E78F7"/>
    <w:rsid w:val="002F0ED3"/>
    <w:rsid w:val="002F1010"/>
    <w:rsid w:val="002F3278"/>
    <w:rsid w:val="002F3DE3"/>
    <w:rsid w:val="002F632E"/>
    <w:rsid w:val="00300E04"/>
    <w:rsid w:val="003021BC"/>
    <w:rsid w:val="00303E4E"/>
    <w:rsid w:val="0030440F"/>
    <w:rsid w:val="00307F6A"/>
    <w:rsid w:val="00310AF9"/>
    <w:rsid w:val="00310DAA"/>
    <w:rsid w:val="00312400"/>
    <w:rsid w:val="0031465E"/>
    <w:rsid w:val="0031536A"/>
    <w:rsid w:val="00315742"/>
    <w:rsid w:val="00316019"/>
    <w:rsid w:val="003163B3"/>
    <w:rsid w:val="003200C6"/>
    <w:rsid w:val="00322A7A"/>
    <w:rsid w:val="00326C5B"/>
    <w:rsid w:val="003333FB"/>
    <w:rsid w:val="003336F0"/>
    <w:rsid w:val="0033663D"/>
    <w:rsid w:val="00336699"/>
    <w:rsid w:val="003366D9"/>
    <w:rsid w:val="00336E20"/>
    <w:rsid w:val="00337E41"/>
    <w:rsid w:val="00340777"/>
    <w:rsid w:val="00341D37"/>
    <w:rsid w:val="00341D8A"/>
    <w:rsid w:val="00341DEB"/>
    <w:rsid w:val="00346A3D"/>
    <w:rsid w:val="00350510"/>
    <w:rsid w:val="0035054A"/>
    <w:rsid w:val="00350C20"/>
    <w:rsid w:val="00351F6B"/>
    <w:rsid w:val="003536CC"/>
    <w:rsid w:val="00353790"/>
    <w:rsid w:val="00353B3B"/>
    <w:rsid w:val="003548FA"/>
    <w:rsid w:val="00355643"/>
    <w:rsid w:val="0035586C"/>
    <w:rsid w:val="00355A74"/>
    <w:rsid w:val="0035764D"/>
    <w:rsid w:val="00361427"/>
    <w:rsid w:val="0036252D"/>
    <w:rsid w:val="00363702"/>
    <w:rsid w:val="003643B9"/>
    <w:rsid w:val="0036458B"/>
    <w:rsid w:val="0037013C"/>
    <w:rsid w:val="003703E8"/>
    <w:rsid w:val="00371D2F"/>
    <w:rsid w:val="00373122"/>
    <w:rsid w:val="00374D4A"/>
    <w:rsid w:val="0037612E"/>
    <w:rsid w:val="00376C4E"/>
    <w:rsid w:val="00376CDC"/>
    <w:rsid w:val="0038033A"/>
    <w:rsid w:val="003816ED"/>
    <w:rsid w:val="003840E9"/>
    <w:rsid w:val="00384161"/>
    <w:rsid w:val="00385FB1"/>
    <w:rsid w:val="00387610"/>
    <w:rsid w:val="00391D28"/>
    <w:rsid w:val="00392B0F"/>
    <w:rsid w:val="0039432A"/>
    <w:rsid w:val="00395330"/>
    <w:rsid w:val="003953EA"/>
    <w:rsid w:val="00395C2F"/>
    <w:rsid w:val="0039734F"/>
    <w:rsid w:val="003973D3"/>
    <w:rsid w:val="00397F89"/>
    <w:rsid w:val="003A0495"/>
    <w:rsid w:val="003A0892"/>
    <w:rsid w:val="003A3162"/>
    <w:rsid w:val="003A422B"/>
    <w:rsid w:val="003A449E"/>
    <w:rsid w:val="003A4F7A"/>
    <w:rsid w:val="003A5FB0"/>
    <w:rsid w:val="003A71F3"/>
    <w:rsid w:val="003B0C9E"/>
    <w:rsid w:val="003B19F5"/>
    <w:rsid w:val="003B1FC7"/>
    <w:rsid w:val="003B4E47"/>
    <w:rsid w:val="003B60A0"/>
    <w:rsid w:val="003D086F"/>
    <w:rsid w:val="003D0CF5"/>
    <w:rsid w:val="003D0E0A"/>
    <w:rsid w:val="003D3B22"/>
    <w:rsid w:val="003D454A"/>
    <w:rsid w:val="003D7B3D"/>
    <w:rsid w:val="003E0348"/>
    <w:rsid w:val="003F1B2C"/>
    <w:rsid w:val="003F3DB1"/>
    <w:rsid w:val="003F3E8F"/>
    <w:rsid w:val="003F451E"/>
    <w:rsid w:val="003F4939"/>
    <w:rsid w:val="003F4C3A"/>
    <w:rsid w:val="003F4EA2"/>
    <w:rsid w:val="003F4F5E"/>
    <w:rsid w:val="003F56BB"/>
    <w:rsid w:val="003F626F"/>
    <w:rsid w:val="003F6794"/>
    <w:rsid w:val="003F6F45"/>
    <w:rsid w:val="0040099F"/>
    <w:rsid w:val="00402B32"/>
    <w:rsid w:val="004045DD"/>
    <w:rsid w:val="0040519F"/>
    <w:rsid w:val="00406992"/>
    <w:rsid w:val="0040781E"/>
    <w:rsid w:val="00410C93"/>
    <w:rsid w:val="004115FB"/>
    <w:rsid w:val="00411B4A"/>
    <w:rsid w:val="004134DD"/>
    <w:rsid w:val="004139C3"/>
    <w:rsid w:val="00413D50"/>
    <w:rsid w:val="00415A38"/>
    <w:rsid w:val="00417E99"/>
    <w:rsid w:val="00421507"/>
    <w:rsid w:val="0042197E"/>
    <w:rsid w:val="00423CAC"/>
    <w:rsid w:val="00424D02"/>
    <w:rsid w:val="0042525A"/>
    <w:rsid w:val="0042733C"/>
    <w:rsid w:val="00434013"/>
    <w:rsid w:val="00434AEB"/>
    <w:rsid w:val="00435043"/>
    <w:rsid w:val="00435FC7"/>
    <w:rsid w:val="0044185A"/>
    <w:rsid w:val="0044193A"/>
    <w:rsid w:val="004463F1"/>
    <w:rsid w:val="00446A94"/>
    <w:rsid w:val="00447985"/>
    <w:rsid w:val="00451683"/>
    <w:rsid w:val="004520F5"/>
    <w:rsid w:val="00453B8F"/>
    <w:rsid w:val="004556B7"/>
    <w:rsid w:val="004560A6"/>
    <w:rsid w:val="00460489"/>
    <w:rsid w:val="004608C7"/>
    <w:rsid w:val="00462878"/>
    <w:rsid w:val="00463E51"/>
    <w:rsid w:val="00465B7A"/>
    <w:rsid w:val="004661AB"/>
    <w:rsid w:val="00467439"/>
    <w:rsid w:val="00471121"/>
    <w:rsid w:val="00472AA2"/>
    <w:rsid w:val="00473B39"/>
    <w:rsid w:val="00474175"/>
    <w:rsid w:val="00481309"/>
    <w:rsid w:val="00485523"/>
    <w:rsid w:val="00487455"/>
    <w:rsid w:val="004928A2"/>
    <w:rsid w:val="00494610"/>
    <w:rsid w:val="004953EC"/>
    <w:rsid w:val="00497ADD"/>
    <w:rsid w:val="004A0D29"/>
    <w:rsid w:val="004A0DE1"/>
    <w:rsid w:val="004A2410"/>
    <w:rsid w:val="004A27AC"/>
    <w:rsid w:val="004A2E15"/>
    <w:rsid w:val="004A3995"/>
    <w:rsid w:val="004B2AA4"/>
    <w:rsid w:val="004B3AB3"/>
    <w:rsid w:val="004B7416"/>
    <w:rsid w:val="004C1DD0"/>
    <w:rsid w:val="004C2685"/>
    <w:rsid w:val="004C64E4"/>
    <w:rsid w:val="004C6C3F"/>
    <w:rsid w:val="004D2334"/>
    <w:rsid w:val="004D433D"/>
    <w:rsid w:val="004D4410"/>
    <w:rsid w:val="004D59F5"/>
    <w:rsid w:val="004D5C91"/>
    <w:rsid w:val="004E156F"/>
    <w:rsid w:val="004E2F88"/>
    <w:rsid w:val="004E382A"/>
    <w:rsid w:val="004E550E"/>
    <w:rsid w:val="004E55DB"/>
    <w:rsid w:val="004E6753"/>
    <w:rsid w:val="004E67C6"/>
    <w:rsid w:val="004F498D"/>
    <w:rsid w:val="004F5959"/>
    <w:rsid w:val="004F670C"/>
    <w:rsid w:val="004F73C6"/>
    <w:rsid w:val="00502917"/>
    <w:rsid w:val="00502B2F"/>
    <w:rsid w:val="00511411"/>
    <w:rsid w:val="00512B63"/>
    <w:rsid w:val="00512D00"/>
    <w:rsid w:val="00512D44"/>
    <w:rsid w:val="00512F57"/>
    <w:rsid w:val="00514179"/>
    <w:rsid w:val="00514CAB"/>
    <w:rsid w:val="005159F1"/>
    <w:rsid w:val="00516243"/>
    <w:rsid w:val="005164D4"/>
    <w:rsid w:val="005241CC"/>
    <w:rsid w:val="005242F4"/>
    <w:rsid w:val="005259EF"/>
    <w:rsid w:val="00527409"/>
    <w:rsid w:val="0053080B"/>
    <w:rsid w:val="00534FFE"/>
    <w:rsid w:val="00537A0E"/>
    <w:rsid w:val="005406A0"/>
    <w:rsid w:val="00540E03"/>
    <w:rsid w:val="00541D5F"/>
    <w:rsid w:val="00544BEA"/>
    <w:rsid w:val="005460D5"/>
    <w:rsid w:val="005461B1"/>
    <w:rsid w:val="0054747F"/>
    <w:rsid w:val="005528EE"/>
    <w:rsid w:val="005532CD"/>
    <w:rsid w:val="00553CF0"/>
    <w:rsid w:val="00554BC9"/>
    <w:rsid w:val="00557C75"/>
    <w:rsid w:val="0056094F"/>
    <w:rsid w:val="0056118F"/>
    <w:rsid w:val="00561BDC"/>
    <w:rsid w:val="005637D0"/>
    <w:rsid w:val="00565187"/>
    <w:rsid w:val="00566A85"/>
    <w:rsid w:val="00570C78"/>
    <w:rsid w:val="00573AE3"/>
    <w:rsid w:val="00574BE1"/>
    <w:rsid w:val="005809FD"/>
    <w:rsid w:val="00581EF9"/>
    <w:rsid w:val="00583690"/>
    <w:rsid w:val="00583CB1"/>
    <w:rsid w:val="005864CC"/>
    <w:rsid w:val="0058721D"/>
    <w:rsid w:val="005902D9"/>
    <w:rsid w:val="0059075F"/>
    <w:rsid w:val="00591B3A"/>
    <w:rsid w:val="005932FC"/>
    <w:rsid w:val="00596AB7"/>
    <w:rsid w:val="005A0CA7"/>
    <w:rsid w:val="005A1B5C"/>
    <w:rsid w:val="005A1EA7"/>
    <w:rsid w:val="005A2356"/>
    <w:rsid w:val="005A4308"/>
    <w:rsid w:val="005A6A12"/>
    <w:rsid w:val="005A71E3"/>
    <w:rsid w:val="005B0724"/>
    <w:rsid w:val="005B09C0"/>
    <w:rsid w:val="005B1162"/>
    <w:rsid w:val="005B1E46"/>
    <w:rsid w:val="005B1E98"/>
    <w:rsid w:val="005B466A"/>
    <w:rsid w:val="005B5AA4"/>
    <w:rsid w:val="005C1647"/>
    <w:rsid w:val="005C29CE"/>
    <w:rsid w:val="005C3F4B"/>
    <w:rsid w:val="005C42AC"/>
    <w:rsid w:val="005C4F84"/>
    <w:rsid w:val="005D1E10"/>
    <w:rsid w:val="005D2EC6"/>
    <w:rsid w:val="005D37D0"/>
    <w:rsid w:val="005D41E8"/>
    <w:rsid w:val="005D4AEF"/>
    <w:rsid w:val="005D535E"/>
    <w:rsid w:val="005D61AC"/>
    <w:rsid w:val="005D703E"/>
    <w:rsid w:val="005E09A8"/>
    <w:rsid w:val="005E32BD"/>
    <w:rsid w:val="005E35E9"/>
    <w:rsid w:val="005E44D4"/>
    <w:rsid w:val="005E5525"/>
    <w:rsid w:val="005F33E5"/>
    <w:rsid w:val="005F38BB"/>
    <w:rsid w:val="005F59A8"/>
    <w:rsid w:val="005F7895"/>
    <w:rsid w:val="0060003E"/>
    <w:rsid w:val="006013C1"/>
    <w:rsid w:val="00602BBE"/>
    <w:rsid w:val="0060315D"/>
    <w:rsid w:val="006068FA"/>
    <w:rsid w:val="00610618"/>
    <w:rsid w:val="006126DC"/>
    <w:rsid w:val="00613410"/>
    <w:rsid w:val="00617986"/>
    <w:rsid w:val="00624A1F"/>
    <w:rsid w:val="00624C90"/>
    <w:rsid w:val="00624D8D"/>
    <w:rsid w:val="006256CA"/>
    <w:rsid w:val="00627729"/>
    <w:rsid w:val="00627F21"/>
    <w:rsid w:val="0063025A"/>
    <w:rsid w:val="00635A39"/>
    <w:rsid w:val="00641769"/>
    <w:rsid w:val="0064245B"/>
    <w:rsid w:val="0064583B"/>
    <w:rsid w:val="00646616"/>
    <w:rsid w:val="006468B8"/>
    <w:rsid w:val="00647853"/>
    <w:rsid w:val="0065045A"/>
    <w:rsid w:val="00650B69"/>
    <w:rsid w:val="00651127"/>
    <w:rsid w:val="0065190C"/>
    <w:rsid w:val="006542F1"/>
    <w:rsid w:val="0065445B"/>
    <w:rsid w:val="00654A48"/>
    <w:rsid w:val="00655A66"/>
    <w:rsid w:val="0065651B"/>
    <w:rsid w:val="0065707D"/>
    <w:rsid w:val="00660733"/>
    <w:rsid w:val="0066180F"/>
    <w:rsid w:val="00664607"/>
    <w:rsid w:val="00666343"/>
    <w:rsid w:val="0066755F"/>
    <w:rsid w:val="006678A9"/>
    <w:rsid w:val="006679A5"/>
    <w:rsid w:val="006679D3"/>
    <w:rsid w:val="00670089"/>
    <w:rsid w:val="00670C89"/>
    <w:rsid w:val="00671233"/>
    <w:rsid w:val="00674FEB"/>
    <w:rsid w:val="006751EF"/>
    <w:rsid w:val="006763DC"/>
    <w:rsid w:val="006800F7"/>
    <w:rsid w:val="00680AE4"/>
    <w:rsid w:val="00681353"/>
    <w:rsid w:val="00682205"/>
    <w:rsid w:val="006822B0"/>
    <w:rsid w:val="0068330C"/>
    <w:rsid w:val="00684E51"/>
    <w:rsid w:val="00684F48"/>
    <w:rsid w:val="00685BEC"/>
    <w:rsid w:val="0068793C"/>
    <w:rsid w:val="00690374"/>
    <w:rsid w:val="0069048C"/>
    <w:rsid w:val="00690C10"/>
    <w:rsid w:val="00692549"/>
    <w:rsid w:val="00694288"/>
    <w:rsid w:val="00694E54"/>
    <w:rsid w:val="00694F91"/>
    <w:rsid w:val="00697F21"/>
    <w:rsid w:val="006A100B"/>
    <w:rsid w:val="006A143A"/>
    <w:rsid w:val="006A1FB5"/>
    <w:rsid w:val="006A3285"/>
    <w:rsid w:val="006A4C56"/>
    <w:rsid w:val="006B050A"/>
    <w:rsid w:val="006B0567"/>
    <w:rsid w:val="006B2E2B"/>
    <w:rsid w:val="006B4535"/>
    <w:rsid w:val="006B4BC7"/>
    <w:rsid w:val="006B5F7A"/>
    <w:rsid w:val="006B6829"/>
    <w:rsid w:val="006B72DE"/>
    <w:rsid w:val="006B7571"/>
    <w:rsid w:val="006B75CB"/>
    <w:rsid w:val="006C1CCB"/>
    <w:rsid w:val="006C34DD"/>
    <w:rsid w:val="006C58DA"/>
    <w:rsid w:val="006C5FC1"/>
    <w:rsid w:val="006C6326"/>
    <w:rsid w:val="006C6630"/>
    <w:rsid w:val="006D35EB"/>
    <w:rsid w:val="006D44E1"/>
    <w:rsid w:val="006D5409"/>
    <w:rsid w:val="006D6350"/>
    <w:rsid w:val="006D6662"/>
    <w:rsid w:val="006E13F1"/>
    <w:rsid w:val="006E159D"/>
    <w:rsid w:val="006E1F54"/>
    <w:rsid w:val="006E21FA"/>
    <w:rsid w:val="006E477D"/>
    <w:rsid w:val="006E6D5F"/>
    <w:rsid w:val="006F0FB7"/>
    <w:rsid w:val="006F1666"/>
    <w:rsid w:val="006F3DD2"/>
    <w:rsid w:val="006F5925"/>
    <w:rsid w:val="006F5E40"/>
    <w:rsid w:val="00702759"/>
    <w:rsid w:val="00704706"/>
    <w:rsid w:val="00704E5D"/>
    <w:rsid w:val="00705739"/>
    <w:rsid w:val="007073D6"/>
    <w:rsid w:val="007103BC"/>
    <w:rsid w:val="00710AE5"/>
    <w:rsid w:val="00712E83"/>
    <w:rsid w:val="00712FF5"/>
    <w:rsid w:val="00713405"/>
    <w:rsid w:val="0071374D"/>
    <w:rsid w:val="007143D3"/>
    <w:rsid w:val="0071464D"/>
    <w:rsid w:val="00714BF1"/>
    <w:rsid w:val="00715FB5"/>
    <w:rsid w:val="00716B56"/>
    <w:rsid w:val="00716C50"/>
    <w:rsid w:val="00716CCA"/>
    <w:rsid w:val="007171A6"/>
    <w:rsid w:val="0071799D"/>
    <w:rsid w:val="00722621"/>
    <w:rsid w:val="00723F66"/>
    <w:rsid w:val="00726088"/>
    <w:rsid w:val="00730B6A"/>
    <w:rsid w:val="00731B91"/>
    <w:rsid w:val="007328E0"/>
    <w:rsid w:val="00736D88"/>
    <w:rsid w:val="00736DD2"/>
    <w:rsid w:val="00736EE0"/>
    <w:rsid w:val="00742B51"/>
    <w:rsid w:val="00742FD0"/>
    <w:rsid w:val="007459E3"/>
    <w:rsid w:val="0074602A"/>
    <w:rsid w:val="00746641"/>
    <w:rsid w:val="0074681C"/>
    <w:rsid w:val="00746EC2"/>
    <w:rsid w:val="007504DE"/>
    <w:rsid w:val="0075449E"/>
    <w:rsid w:val="00754913"/>
    <w:rsid w:val="0076097C"/>
    <w:rsid w:val="00761188"/>
    <w:rsid w:val="00762B70"/>
    <w:rsid w:val="007636FE"/>
    <w:rsid w:val="007642AF"/>
    <w:rsid w:val="007654FF"/>
    <w:rsid w:val="0077408E"/>
    <w:rsid w:val="00775BBD"/>
    <w:rsid w:val="00776EEE"/>
    <w:rsid w:val="00780577"/>
    <w:rsid w:val="00781AD3"/>
    <w:rsid w:val="00781BFB"/>
    <w:rsid w:val="00782895"/>
    <w:rsid w:val="00786B63"/>
    <w:rsid w:val="00786FA7"/>
    <w:rsid w:val="00790CB8"/>
    <w:rsid w:val="0079174D"/>
    <w:rsid w:val="0079177C"/>
    <w:rsid w:val="00793BA0"/>
    <w:rsid w:val="00794382"/>
    <w:rsid w:val="007959AC"/>
    <w:rsid w:val="00796323"/>
    <w:rsid w:val="00797806"/>
    <w:rsid w:val="007A1823"/>
    <w:rsid w:val="007A18F7"/>
    <w:rsid w:val="007A1C33"/>
    <w:rsid w:val="007A20E0"/>
    <w:rsid w:val="007A2D1A"/>
    <w:rsid w:val="007A3A58"/>
    <w:rsid w:val="007A44E2"/>
    <w:rsid w:val="007A5F40"/>
    <w:rsid w:val="007A647E"/>
    <w:rsid w:val="007A6DBB"/>
    <w:rsid w:val="007B2204"/>
    <w:rsid w:val="007B25DC"/>
    <w:rsid w:val="007B4B60"/>
    <w:rsid w:val="007B7278"/>
    <w:rsid w:val="007B77FA"/>
    <w:rsid w:val="007C1691"/>
    <w:rsid w:val="007C5D7B"/>
    <w:rsid w:val="007C68B1"/>
    <w:rsid w:val="007C6B0F"/>
    <w:rsid w:val="007D0189"/>
    <w:rsid w:val="007D0625"/>
    <w:rsid w:val="007D2127"/>
    <w:rsid w:val="007D55BE"/>
    <w:rsid w:val="007D7A44"/>
    <w:rsid w:val="007D7E65"/>
    <w:rsid w:val="007E1919"/>
    <w:rsid w:val="007E19E0"/>
    <w:rsid w:val="007E1EFF"/>
    <w:rsid w:val="007E1F5C"/>
    <w:rsid w:val="007E517D"/>
    <w:rsid w:val="007E5A95"/>
    <w:rsid w:val="007E74BC"/>
    <w:rsid w:val="007F0D22"/>
    <w:rsid w:val="007F6769"/>
    <w:rsid w:val="007F6A49"/>
    <w:rsid w:val="007F7D60"/>
    <w:rsid w:val="008012F4"/>
    <w:rsid w:val="008041D4"/>
    <w:rsid w:val="00805021"/>
    <w:rsid w:val="00806938"/>
    <w:rsid w:val="00807818"/>
    <w:rsid w:val="0081156A"/>
    <w:rsid w:val="00814B3D"/>
    <w:rsid w:val="00815757"/>
    <w:rsid w:val="008209EF"/>
    <w:rsid w:val="00820BDE"/>
    <w:rsid w:val="00824031"/>
    <w:rsid w:val="008246CD"/>
    <w:rsid w:val="0082582A"/>
    <w:rsid w:val="00827398"/>
    <w:rsid w:val="008275B6"/>
    <w:rsid w:val="00831C11"/>
    <w:rsid w:val="00832B2F"/>
    <w:rsid w:val="00833C6C"/>
    <w:rsid w:val="008343A5"/>
    <w:rsid w:val="00834BF9"/>
    <w:rsid w:val="00835C97"/>
    <w:rsid w:val="0083653E"/>
    <w:rsid w:val="008369DC"/>
    <w:rsid w:val="008401FE"/>
    <w:rsid w:val="00842974"/>
    <w:rsid w:val="00842F87"/>
    <w:rsid w:val="00843802"/>
    <w:rsid w:val="00843A88"/>
    <w:rsid w:val="00843D2E"/>
    <w:rsid w:val="00844821"/>
    <w:rsid w:val="0084512B"/>
    <w:rsid w:val="00845F3E"/>
    <w:rsid w:val="0085550A"/>
    <w:rsid w:val="00857C4E"/>
    <w:rsid w:val="008616EF"/>
    <w:rsid w:val="00863C25"/>
    <w:rsid w:val="008641B7"/>
    <w:rsid w:val="00864A94"/>
    <w:rsid w:val="00864C76"/>
    <w:rsid w:val="00864D80"/>
    <w:rsid w:val="00864DC1"/>
    <w:rsid w:val="00865D3D"/>
    <w:rsid w:val="00866D67"/>
    <w:rsid w:val="00870530"/>
    <w:rsid w:val="008705B7"/>
    <w:rsid w:val="008705BC"/>
    <w:rsid w:val="0087069D"/>
    <w:rsid w:val="00871999"/>
    <w:rsid w:val="00872E27"/>
    <w:rsid w:val="008735EE"/>
    <w:rsid w:val="00874CD4"/>
    <w:rsid w:val="00875A42"/>
    <w:rsid w:val="00877DD5"/>
    <w:rsid w:val="00880B3F"/>
    <w:rsid w:val="00880BCE"/>
    <w:rsid w:val="00884D78"/>
    <w:rsid w:val="00884E29"/>
    <w:rsid w:val="008904A8"/>
    <w:rsid w:val="00890802"/>
    <w:rsid w:val="00891D94"/>
    <w:rsid w:val="008944EA"/>
    <w:rsid w:val="00896589"/>
    <w:rsid w:val="008A0862"/>
    <w:rsid w:val="008A0CEE"/>
    <w:rsid w:val="008A19AF"/>
    <w:rsid w:val="008A20FB"/>
    <w:rsid w:val="008A3C11"/>
    <w:rsid w:val="008A4D88"/>
    <w:rsid w:val="008A5514"/>
    <w:rsid w:val="008A6114"/>
    <w:rsid w:val="008A7CA6"/>
    <w:rsid w:val="008B1EFA"/>
    <w:rsid w:val="008B215F"/>
    <w:rsid w:val="008B3C55"/>
    <w:rsid w:val="008B7B1F"/>
    <w:rsid w:val="008C0BE2"/>
    <w:rsid w:val="008C1B22"/>
    <w:rsid w:val="008C256F"/>
    <w:rsid w:val="008C4C84"/>
    <w:rsid w:val="008C510F"/>
    <w:rsid w:val="008C54DB"/>
    <w:rsid w:val="008C5ED3"/>
    <w:rsid w:val="008D067F"/>
    <w:rsid w:val="008D3283"/>
    <w:rsid w:val="008D3A20"/>
    <w:rsid w:val="008D6BB6"/>
    <w:rsid w:val="008E295A"/>
    <w:rsid w:val="008E437B"/>
    <w:rsid w:val="008E44C0"/>
    <w:rsid w:val="008E4D3F"/>
    <w:rsid w:val="008E66B8"/>
    <w:rsid w:val="008E6B00"/>
    <w:rsid w:val="008F0A2E"/>
    <w:rsid w:val="008F1988"/>
    <w:rsid w:val="008F2B05"/>
    <w:rsid w:val="008F5E76"/>
    <w:rsid w:val="008F6252"/>
    <w:rsid w:val="008F6E94"/>
    <w:rsid w:val="0090060B"/>
    <w:rsid w:val="00900681"/>
    <w:rsid w:val="009023F3"/>
    <w:rsid w:val="00902BDC"/>
    <w:rsid w:val="0090383C"/>
    <w:rsid w:val="00905D85"/>
    <w:rsid w:val="00907826"/>
    <w:rsid w:val="00912132"/>
    <w:rsid w:val="00913CAA"/>
    <w:rsid w:val="0091452F"/>
    <w:rsid w:val="00916F84"/>
    <w:rsid w:val="009226D2"/>
    <w:rsid w:val="00922FAD"/>
    <w:rsid w:val="009249B0"/>
    <w:rsid w:val="00924F0A"/>
    <w:rsid w:val="00925082"/>
    <w:rsid w:val="00925726"/>
    <w:rsid w:val="009265A8"/>
    <w:rsid w:val="0092669F"/>
    <w:rsid w:val="00926904"/>
    <w:rsid w:val="0092708B"/>
    <w:rsid w:val="0093049D"/>
    <w:rsid w:val="00932AB8"/>
    <w:rsid w:val="0093737F"/>
    <w:rsid w:val="00937713"/>
    <w:rsid w:val="009409CD"/>
    <w:rsid w:val="00942A5A"/>
    <w:rsid w:val="00945C29"/>
    <w:rsid w:val="0094759E"/>
    <w:rsid w:val="00952C13"/>
    <w:rsid w:val="0095455D"/>
    <w:rsid w:val="00956DD3"/>
    <w:rsid w:val="00962BF1"/>
    <w:rsid w:val="0096372B"/>
    <w:rsid w:val="009638AA"/>
    <w:rsid w:val="00966820"/>
    <w:rsid w:val="00971E57"/>
    <w:rsid w:val="009723CF"/>
    <w:rsid w:val="0097276D"/>
    <w:rsid w:val="00972F46"/>
    <w:rsid w:val="00973D3A"/>
    <w:rsid w:val="009741DC"/>
    <w:rsid w:val="0097652A"/>
    <w:rsid w:val="00980037"/>
    <w:rsid w:val="00983B43"/>
    <w:rsid w:val="00984742"/>
    <w:rsid w:val="0099161D"/>
    <w:rsid w:val="00991B37"/>
    <w:rsid w:val="009924BC"/>
    <w:rsid w:val="00994602"/>
    <w:rsid w:val="00995C32"/>
    <w:rsid w:val="009A096C"/>
    <w:rsid w:val="009A663C"/>
    <w:rsid w:val="009A7C37"/>
    <w:rsid w:val="009B057C"/>
    <w:rsid w:val="009B0E22"/>
    <w:rsid w:val="009B145D"/>
    <w:rsid w:val="009B2A41"/>
    <w:rsid w:val="009B33F8"/>
    <w:rsid w:val="009B6208"/>
    <w:rsid w:val="009B71FF"/>
    <w:rsid w:val="009C197C"/>
    <w:rsid w:val="009C1F5E"/>
    <w:rsid w:val="009C3034"/>
    <w:rsid w:val="009C4BFF"/>
    <w:rsid w:val="009C7522"/>
    <w:rsid w:val="009D00BE"/>
    <w:rsid w:val="009D0D42"/>
    <w:rsid w:val="009D0FDD"/>
    <w:rsid w:val="009D3162"/>
    <w:rsid w:val="009D3181"/>
    <w:rsid w:val="009D3678"/>
    <w:rsid w:val="009D64F8"/>
    <w:rsid w:val="009D7B9B"/>
    <w:rsid w:val="009E0248"/>
    <w:rsid w:val="009E067B"/>
    <w:rsid w:val="009E25A5"/>
    <w:rsid w:val="009E26ED"/>
    <w:rsid w:val="009E34EF"/>
    <w:rsid w:val="009E367E"/>
    <w:rsid w:val="009E65FE"/>
    <w:rsid w:val="009E675E"/>
    <w:rsid w:val="009E717E"/>
    <w:rsid w:val="009E737D"/>
    <w:rsid w:val="009E7DA1"/>
    <w:rsid w:val="009F1306"/>
    <w:rsid w:val="009F18FA"/>
    <w:rsid w:val="00A01758"/>
    <w:rsid w:val="00A01B75"/>
    <w:rsid w:val="00A02768"/>
    <w:rsid w:val="00A03977"/>
    <w:rsid w:val="00A06013"/>
    <w:rsid w:val="00A06359"/>
    <w:rsid w:val="00A104A7"/>
    <w:rsid w:val="00A12904"/>
    <w:rsid w:val="00A15FBF"/>
    <w:rsid w:val="00A1616D"/>
    <w:rsid w:val="00A1783B"/>
    <w:rsid w:val="00A250BF"/>
    <w:rsid w:val="00A2647C"/>
    <w:rsid w:val="00A26FF7"/>
    <w:rsid w:val="00A27159"/>
    <w:rsid w:val="00A36ABA"/>
    <w:rsid w:val="00A37A20"/>
    <w:rsid w:val="00A41867"/>
    <w:rsid w:val="00A445DC"/>
    <w:rsid w:val="00A44BEA"/>
    <w:rsid w:val="00A45060"/>
    <w:rsid w:val="00A47C22"/>
    <w:rsid w:val="00A50B08"/>
    <w:rsid w:val="00A556BB"/>
    <w:rsid w:val="00A55B14"/>
    <w:rsid w:val="00A5689C"/>
    <w:rsid w:val="00A569E8"/>
    <w:rsid w:val="00A57FAF"/>
    <w:rsid w:val="00A601C4"/>
    <w:rsid w:val="00A6033E"/>
    <w:rsid w:val="00A61D6E"/>
    <w:rsid w:val="00A6275E"/>
    <w:rsid w:val="00A670F4"/>
    <w:rsid w:val="00A67D85"/>
    <w:rsid w:val="00A70193"/>
    <w:rsid w:val="00A70DFA"/>
    <w:rsid w:val="00A711C6"/>
    <w:rsid w:val="00A730F3"/>
    <w:rsid w:val="00A74B68"/>
    <w:rsid w:val="00A77EE1"/>
    <w:rsid w:val="00A816E0"/>
    <w:rsid w:val="00A84863"/>
    <w:rsid w:val="00A86132"/>
    <w:rsid w:val="00A8625E"/>
    <w:rsid w:val="00A86868"/>
    <w:rsid w:val="00A91750"/>
    <w:rsid w:val="00A952E4"/>
    <w:rsid w:val="00A95B37"/>
    <w:rsid w:val="00A95D95"/>
    <w:rsid w:val="00A977EC"/>
    <w:rsid w:val="00AA36C5"/>
    <w:rsid w:val="00AA3FD1"/>
    <w:rsid w:val="00AA486D"/>
    <w:rsid w:val="00AA52DE"/>
    <w:rsid w:val="00AA5F23"/>
    <w:rsid w:val="00AA7AB2"/>
    <w:rsid w:val="00AB0A31"/>
    <w:rsid w:val="00AB11B3"/>
    <w:rsid w:val="00AB1DAF"/>
    <w:rsid w:val="00AB40EF"/>
    <w:rsid w:val="00AB43D9"/>
    <w:rsid w:val="00AB57B9"/>
    <w:rsid w:val="00AB5ED3"/>
    <w:rsid w:val="00AB6B0C"/>
    <w:rsid w:val="00AB70CD"/>
    <w:rsid w:val="00AB7800"/>
    <w:rsid w:val="00AC1860"/>
    <w:rsid w:val="00AC4898"/>
    <w:rsid w:val="00AC48B3"/>
    <w:rsid w:val="00AC6686"/>
    <w:rsid w:val="00AC7893"/>
    <w:rsid w:val="00AC7AC9"/>
    <w:rsid w:val="00AD19F0"/>
    <w:rsid w:val="00AD4C82"/>
    <w:rsid w:val="00AD672D"/>
    <w:rsid w:val="00AD7B2D"/>
    <w:rsid w:val="00AE1920"/>
    <w:rsid w:val="00AE2E7B"/>
    <w:rsid w:val="00AE34CC"/>
    <w:rsid w:val="00AE3CBA"/>
    <w:rsid w:val="00AE6D45"/>
    <w:rsid w:val="00AE76F8"/>
    <w:rsid w:val="00AF01B3"/>
    <w:rsid w:val="00AF0F13"/>
    <w:rsid w:val="00AF0FEE"/>
    <w:rsid w:val="00AF2141"/>
    <w:rsid w:val="00AF7992"/>
    <w:rsid w:val="00AF7CDD"/>
    <w:rsid w:val="00B00AB3"/>
    <w:rsid w:val="00B00F30"/>
    <w:rsid w:val="00B02F8B"/>
    <w:rsid w:val="00B055C2"/>
    <w:rsid w:val="00B05B91"/>
    <w:rsid w:val="00B063FE"/>
    <w:rsid w:val="00B12402"/>
    <w:rsid w:val="00B14C52"/>
    <w:rsid w:val="00B200AA"/>
    <w:rsid w:val="00B203A9"/>
    <w:rsid w:val="00B204FE"/>
    <w:rsid w:val="00B229A5"/>
    <w:rsid w:val="00B23579"/>
    <w:rsid w:val="00B2488E"/>
    <w:rsid w:val="00B25EB3"/>
    <w:rsid w:val="00B26194"/>
    <w:rsid w:val="00B31B64"/>
    <w:rsid w:val="00B37068"/>
    <w:rsid w:val="00B42056"/>
    <w:rsid w:val="00B42D1D"/>
    <w:rsid w:val="00B43668"/>
    <w:rsid w:val="00B43ACC"/>
    <w:rsid w:val="00B478C3"/>
    <w:rsid w:val="00B47F66"/>
    <w:rsid w:val="00B52715"/>
    <w:rsid w:val="00B54A61"/>
    <w:rsid w:val="00B61348"/>
    <w:rsid w:val="00B61FCD"/>
    <w:rsid w:val="00B6263F"/>
    <w:rsid w:val="00B647F2"/>
    <w:rsid w:val="00B67114"/>
    <w:rsid w:val="00B678C7"/>
    <w:rsid w:val="00B70368"/>
    <w:rsid w:val="00B7097C"/>
    <w:rsid w:val="00B75449"/>
    <w:rsid w:val="00B75C18"/>
    <w:rsid w:val="00B81284"/>
    <w:rsid w:val="00B82C91"/>
    <w:rsid w:val="00B834EF"/>
    <w:rsid w:val="00B86DA1"/>
    <w:rsid w:val="00B87043"/>
    <w:rsid w:val="00B87401"/>
    <w:rsid w:val="00B87DFB"/>
    <w:rsid w:val="00B92399"/>
    <w:rsid w:val="00B96DA5"/>
    <w:rsid w:val="00B9780A"/>
    <w:rsid w:val="00BA23E2"/>
    <w:rsid w:val="00BA3CD7"/>
    <w:rsid w:val="00BA431F"/>
    <w:rsid w:val="00BA527C"/>
    <w:rsid w:val="00BA5B9C"/>
    <w:rsid w:val="00BA7045"/>
    <w:rsid w:val="00BA7D51"/>
    <w:rsid w:val="00BA7F31"/>
    <w:rsid w:val="00BB3728"/>
    <w:rsid w:val="00BB4AD5"/>
    <w:rsid w:val="00BB7494"/>
    <w:rsid w:val="00BB75E4"/>
    <w:rsid w:val="00BB76A5"/>
    <w:rsid w:val="00BC089B"/>
    <w:rsid w:val="00BC183F"/>
    <w:rsid w:val="00BC1C37"/>
    <w:rsid w:val="00BC217D"/>
    <w:rsid w:val="00BC2390"/>
    <w:rsid w:val="00BC775D"/>
    <w:rsid w:val="00BD0051"/>
    <w:rsid w:val="00BD1B72"/>
    <w:rsid w:val="00BD2939"/>
    <w:rsid w:val="00BD3F54"/>
    <w:rsid w:val="00BD4766"/>
    <w:rsid w:val="00BD5A75"/>
    <w:rsid w:val="00BD5FE7"/>
    <w:rsid w:val="00BD6BF7"/>
    <w:rsid w:val="00BE07A9"/>
    <w:rsid w:val="00BE1700"/>
    <w:rsid w:val="00BE2E36"/>
    <w:rsid w:val="00BE4D8F"/>
    <w:rsid w:val="00BE77FF"/>
    <w:rsid w:val="00BF0A3E"/>
    <w:rsid w:val="00BF26AC"/>
    <w:rsid w:val="00BF46A7"/>
    <w:rsid w:val="00BF5230"/>
    <w:rsid w:val="00BF6DA8"/>
    <w:rsid w:val="00BF7064"/>
    <w:rsid w:val="00C00289"/>
    <w:rsid w:val="00C01447"/>
    <w:rsid w:val="00C021F8"/>
    <w:rsid w:val="00C048FB"/>
    <w:rsid w:val="00C06877"/>
    <w:rsid w:val="00C06A1F"/>
    <w:rsid w:val="00C1090C"/>
    <w:rsid w:val="00C14B7C"/>
    <w:rsid w:val="00C14BF1"/>
    <w:rsid w:val="00C201FC"/>
    <w:rsid w:val="00C21E43"/>
    <w:rsid w:val="00C22459"/>
    <w:rsid w:val="00C234B7"/>
    <w:rsid w:val="00C240C8"/>
    <w:rsid w:val="00C249AF"/>
    <w:rsid w:val="00C25974"/>
    <w:rsid w:val="00C259A2"/>
    <w:rsid w:val="00C25EEB"/>
    <w:rsid w:val="00C262C3"/>
    <w:rsid w:val="00C26513"/>
    <w:rsid w:val="00C3085C"/>
    <w:rsid w:val="00C328C9"/>
    <w:rsid w:val="00C339ED"/>
    <w:rsid w:val="00C3448C"/>
    <w:rsid w:val="00C35BA8"/>
    <w:rsid w:val="00C36BD4"/>
    <w:rsid w:val="00C36F3C"/>
    <w:rsid w:val="00C37F72"/>
    <w:rsid w:val="00C40246"/>
    <w:rsid w:val="00C420C1"/>
    <w:rsid w:val="00C438F3"/>
    <w:rsid w:val="00C43FEE"/>
    <w:rsid w:val="00C452AA"/>
    <w:rsid w:val="00C45963"/>
    <w:rsid w:val="00C472B8"/>
    <w:rsid w:val="00C5032A"/>
    <w:rsid w:val="00C50723"/>
    <w:rsid w:val="00C529FD"/>
    <w:rsid w:val="00C53124"/>
    <w:rsid w:val="00C538A9"/>
    <w:rsid w:val="00C53997"/>
    <w:rsid w:val="00C53A0D"/>
    <w:rsid w:val="00C53B2E"/>
    <w:rsid w:val="00C55B31"/>
    <w:rsid w:val="00C604A1"/>
    <w:rsid w:val="00C60DFC"/>
    <w:rsid w:val="00C6160A"/>
    <w:rsid w:val="00C65711"/>
    <w:rsid w:val="00C66460"/>
    <w:rsid w:val="00C700C4"/>
    <w:rsid w:val="00C76ECD"/>
    <w:rsid w:val="00C81071"/>
    <w:rsid w:val="00C8221C"/>
    <w:rsid w:val="00C84B63"/>
    <w:rsid w:val="00C84E04"/>
    <w:rsid w:val="00C852FB"/>
    <w:rsid w:val="00C85E27"/>
    <w:rsid w:val="00C86DC6"/>
    <w:rsid w:val="00C87D95"/>
    <w:rsid w:val="00C910BE"/>
    <w:rsid w:val="00C922BE"/>
    <w:rsid w:val="00C92A69"/>
    <w:rsid w:val="00C96891"/>
    <w:rsid w:val="00C978B4"/>
    <w:rsid w:val="00CA14F4"/>
    <w:rsid w:val="00CA3EC7"/>
    <w:rsid w:val="00CA5314"/>
    <w:rsid w:val="00CA583F"/>
    <w:rsid w:val="00CA5844"/>
    <w:rsid w:val="00CA6BBE"/>
    <w:rsid w:val="00CA7415"/>
    <w:rsid w:val="00CA748D"/>
    <w:rsid w:val="00CB265C"/>
    <w:rsid w:val="00CB2BDD"/>
    <w:rsid w:val="00CB32BC"/>
    <w:rsid w:val="00CB33F0"/>
    <w:rsid w:val="00CB3949"/>
    <w:rsid w:val="00CB3AB4"/>
    <w:rsid w:val="00CB4540"/>
    <w:rsid w:val="00CB4951"/>
    <w:rsid w:val="00CB7A07"/>
    <w:rsid w:val="00CC0DF9"/>
    <w:rsid w:val="00CC178A"/>
    <w:rsid w:val="00CC59BB"/>
    <w:rsid w:val="00CC7288"/>
    <w:rsid w:val="00CD1B93"/>
    <w:rsid w:val="00CD3BD4"/>
    <w:rsid w:val="00CD3CC8"/>
    <w:rsid w:val="00CD4915"/>
    <w:rsid w:val="00CD4A64"/>
    <w:rsid w:val="00CD60BD"/>
    <w:rsid w:val="00CD635D"/>
    <w:rsid w:val="00CD6DEE"/>
    <w:rsid w:val="00CD7C5B"/>
    <w:rsid w:val="00CD7CED"/>
    <w:rsid w:val="00CE04C7"/>
    <w:rsid w:val="00CE0FFF"/>
    <w:rsid w:val="00CE2AC9"/>
    <w:rsid w:val="00CE2AFE"/>
    <w:rsid w:val="00CE2EDA"/>
    <w:rsid w:val="00CE3330"/>
    <w:rsid w:val="00CE7B14"/>
    <w:rsid w:val="00CF156B"/>
    <w:rsid w:val="00CF1E02"/>
    <w:rsid w:val="00CF23E6"/>
    <w:rsid w:val="00CF4BD6"/>
    <w:rsid w:val="00CF597A"/>
    <w:rsid w:val="00CF7964"/>
    <w:rsid w:val="00CF7ADA"/>
    <w:rsid w:val="00D00228"/>
    <w:rsid w:val="00D00DA0"/>
    <w:rsid w:val="00D0103F"/>
    <w:rsid w:val="00D03E34"/>
    <w:rsid w:val="00D04010"/>
    <w:rsid w:val="00D042CA"/>
    <w:rsid w:val="00D04C01"/>
    <w:rsid w:val="00D05131"/>
    <w:rsid w:val="00D05366"/>
    <w:rsid w:val="00D05BAA"/>
    <w:rsid w:val="00D07E98"/>
    <w:rsid w:val="00D07F26"/>
    <w:rsid w:val="00D11A09"/>
    <w:rsid w:val="00D11BCD"/>
    <w:rsid w:val="00D13B7A"/>
    <w:rsid w:val="00D17FD1"/>
    <w:rsid w:val="00D22C4B"/>
    <w:rsid w:val="00D230C7"/>
    <w:rsid w:val="00D23583"/>
    <w:rsid w:val="00D23E7D"/>
    <w:rsid w:val="00D2405F"/>
    <w:rsid w:val="00D26A95"/>
    <w:rsid w:val="00D26C71"/>
    <w:rsid w:val="00D30C7F"/>
    <w:rsid w:val="00D32DFB"/>
    <w:rsid w:val="00D36095"/>
    <w:rsid w:val="00D37213"/>
    <w:rsid w:val="00D41421"/>
    <w:rsid w:val="00D41998"/>
    <w:rsid w:val="00D41BA9"/>
    <w:rsid w:val="00D44059"/>
    <w:rsid w:val="00D4511A"/>
    <w:rsid w:val="00D512A2"/>
    <w:rsid w:val="00D51813"/>
    <w:rsid w:val="00D52376"/>
    <w:rsid w:val="00D52B85"/>
    <w:rsid w:val="00D52C2D"/>
    <w:rsid w:val="00D532F3"/>
    <w:rsid w:val="00D53EE6"/>
    <w:rsid w:val="00D5638C"/>
    <w:rsid w:val="00D60C31"/>
    <w:rsid w:val="00D612C2"/>
    <w:rsid w:val="00D63687"/>
    <w:rsid w:val="00D64D38"/>
    <w:rsid w:val="00D70860"/>
    <w:rsid w:val="00D7330A"/>
    <w:rsid w:val="00D742C8"/>
    <w:rsid w:val="00D745E0"/>
    <w:rsid w:val="00D76AA3"/>
    <w:rsid w:val="00D80493"/>
    <w:rsid w:val="00D80604"/>
    <w:rsid w:val="00D86529"/>
    <w:rsid w:val="00D86A86"/>
    <w:rsid w:val="00D8791E"/>
    <w:rsid w:val="00D87FFE"/>
    <w:rsid w:val="00D90BD3"/>
    <w:rsid w:val="00D91A7D"/>
    <w:rsid w:val="00D92438"/>
    <w:rsid w:val="00D9306E"/>
    <w:rsid w:val="00DA0040"/>
    <w:rsid w:val="00DA086B"/>
    <w:rsid w:val="00DA1D7A"/>
    <w:rsid w:val="00DA2CDF"/>
    <w:rsid w:val="00DA5E0A"/>
    <w:rsid w:val="00DA6834"/>
    <w:rsid w:val="00DA7145"/>
    <w:rsid w:val="00DA78D8"/>
    <w:rsid w:val="00DA7E05"/>
    <w:rsid w:val="00DB07D7"/>
    <w:rsid w:val="00DB109B"/>
    <w:rsid w:val="00DB165C"/>
    <w:rsid w:val="00DB4794"/>
    <w:rsid w:val="00DB5C3E"/>
    <w:rsid w:val="00DB628E"/>
    <w:rsid w:val="00DB6E42"/>
    <w:rsid w:val="00DC4070"/>
    <w:rsid w:val="00DC7F89"/>
    <w:rsid w:val="00DD2DA3"/>
    <w:rsid w:val="00DD3124"/>
    <w:rsid w:val="00DD51BD"/>
    <w:rsid w:val="00DE039B"/>
    <w:rsid w:val="00DE0BA9"/>
    <w:rsid w:val="00DE1DE6"/>
    <w:rsid w:val="00DE1E39"/>
    <w:rsid w:val="00DE2F72"/>
    <w:rsid w:val="00DE4B05"/>
    <w:rsid w:val="00DE513D"/>
    <w:rsid w:val="00DE7743"/>
    <w:rsid w:val="00DF2204"/>
    <w:rsid w:val="00DF235C"/>
    <w:rsid w:val="00DF426D"/>
    <w:rsid w:val="00DF454F"/>
    <w:rsid w:val="00DF47D6"/>
    <w:rsid w:val="00DF493B"/>
    <w:rsid w:val="00DF4D5A"/>
    <w:rsid w:val="00DF5425"/>
    <w:rsid w:val="00DF6E46"/>
    <w:rsid w:val="00DF782C"/>
    <w:rsid w:val="00E030A0"/>
    <w:rsid w:val="00E03312"/>
    <w:rsid w:val="00E04F16"/>
    <w:rsid w:val="00E075A1"/>
    <w:rsid w:val="00E0797A"/>
    <w:rsid w:val="00E07CE3"/>
    <w:rsid w:val="00E07D67"/>
    <w:rsid w:val="00E11D5D"/>
    <w:rsid w:val="00E124E3"/>
    <w:rsid w:val="00E12F81"/>
    <w:rsid w:val="00E141AB"/>
    <w:rsid w:val="00E14414"/>
    <w:rsid w:val="00E14812"/>
    <w:rsid w:val="00E151B8"/>
    <w:rsid w:val="00E15231"/>
    <w:rsid w:val="00E15DDE"/>
    <w:rsid w:val="00E1678E"/>
    <w:rsid w:val="00E17B19"/>
    <w:rsid w:val="00E2021C"/>
    <w:rsid w:val="00E2339E"/>
    <w:rsid w:val="00E24AFF"/>
    <w:rsid w:val="00E27101"/>
    <w:rsid w:val="00E27946"/>
    <w:rsid w:val="00E300BB"/>
    <w:rsid w:val="00E31ACD"/>
    <w:rsid w:val="00E3245B"/>
    <w:rsid w:val="00E32DCD"/>
    <w:rsid w:val="00E32DF0"/>
    <w:rsid w:val="00E33F93"/>
    <w:rsid w:val="00E344F6"/>
    <w:rsid w:val="00E3707B"/>
    <w:rsid w:val="00E37B1B"/>
    <w:rsid w:val="00E41016"/>
    <w:rsid w:val="00E43C69"/>
    <w:rsid w:val="00E44D6C"/>
    <w:rsid w:val="00E45DD0"/>
    <w:rsid w:val="00E50685"/>
    <w:rsid w:val="00E55B96"/>
    <w:rsid w:val="00E57F6B"/>
    <w:rsid w:val="00E609CE"/>
    <w:rsid w:val="00E6234F"/>
    <w:rsid w:val="00E6723D"/>
    <w:rsid w:val="00E67253"/>
    <w:rsid w:val="00E67AC7"/>
    <w:rsid w:val="00E704C2"/>
    <w:rsid w:val="00E7134F"/>
    <w:rsid w:val="00E72651"/>
    <w:rsid w:val="00E7342C"/>
    <w:rsid w:val="00E736E9"/>
    <w:rsid w:val="00E74746"/>
    <w:rsid w:val="00E76363"/>
    <w:rsid w:val="00E807C2"/>
    <w:rsid w:val="00E82F26"/>
    <w:rsid w:val="00E83D82"/>
    <w:rsid w:val="00E90BE3"/>
    <w:rsid w:val="00E91374"/>
    <w:rsid w:val="00E91D81"/>
    <w:rsid w:val="00E92BC2"/>
    <w:rsid w:val="00E93031"/>
    <w:rsid w:val="00E953FD"/>
    <w:rsid w:val="00E96A15"/>
    <w:rsid w:val="00EA010E"/>
    <w:rsid w:val="00EA2481"/>
    <w:rsid w:val="00EA28AB"/>
    <w:rsid w:val="00EA356B"/>
    <w:rsid w:val="00EA3775"/>
    <w:rsid w:val="00EA4DB7"/>
    <w:rsid w:val="00EA4FEC"/>
    <w:rsid w:val="00EA6FBF"/>
    <w:rsid w:val="00EB04BA"/>
    <w:rsid w:val="00EB1E33"/>
    <w:rsid w:val="00EB4DA6"/>
    <w:rsid w:val="00EB508B"/>
    <w:rsid w:val="00EB7A64"/>
    <w:rsid w:val="00EB7B0A"/>
    <w:rsid w:val="00EC0881"/>
    <w:rsid w:val="00EC4119"/>
    <w:rsid w:val="00EC7432"/>
    <w:rsid w:val="00EC74F9"/>
    <w:rsid w:val="00ED13DE"/>
    <w:rsid w:val="00ED1996"/>
    <w:rsid w:val="00ED2843"/>
    <w:rsid w:val="00ED2F55"/>
    <w:rsid w:val="00ED394A"/>
    <w:rsid w:val="00ED3DF7"/>
    <w:rsid w:val="00ED5ED8"/>
    <w:rsid w:val="00ED6275"/>
    <w:rsid w:val="00ED7A2C"/>
    <w:rsid w:val="00ED7C9D"/>
    <w:rsid w:val="00EE0C95"/>
    <w:rsid w:val="00EE3F0F"/>
    <w:rsid w:val="00EE41F4"/>
    <w:rsid w:val="00EE4748"/>
    <w:rsid w:val="00EE54F5"/>
    <w:rsid w:val="00EE798C"/>
    <w:rsid w:val="00EF0199"/>
    <w:rsid w:val="00EF14E9"/>
    <w:rsid w:val="00EF15F1"/>
    <w:rsid w:val="00F0263C"/>
    <w:rsid w:val="00F02810"/>
    <w:rsid w:val="00F02DD9"/>
    <w:rsid w:val="00F0353A"/>
    <w:rsid w:val="00F0402A"/>
    <w:rsid w:val="00F0562C"/>
    <w:rsid w:val="00F07266"/>
    <w:rsid w:val="00F0777D"/>
    <w:rsid w:val="00F07E7B"/>
    <w:rsid w:val="00F1149B"/>
    <w:rsid w:val="00F11E0E"/>
    <w:rsid w:val="00F16313"/>
    <w:rsid w:val="00F1700E"/>
    <w:rsid w:val="00F20820"/>
    <w:rsid w:val="00F20FF1"/>
    <w:rsid w:val="00F2369A"/>
    <w:rsid w:val="00F24317"/>
    <w:rsid w:val="00F27AC7"/>
    <w:rsid w:val="00F3183C"/>
    <w:rsid w:val="00F32641"/>
    <w:rsid w:val="00F32FCB"/>
    <w:rsid w:val="00F338F5"/>
    <w:rsid w:val="00F34974"/>
    <w:rsid w:val="00F35457"/>
    <w:rsid w:val="00F3595B"/>
    <w:rsid w:val="00F3658C"/>
    <w:rsid w:val="00F367F3"/>
    <w:rsid w:val="00F36A26"/>
    <w:rsid w:val="00F41DFB"/>
    <w:rsid w:val="00F41F54"/>
    <w:rsid w:val="00F426A6"/>
    <w:rsid w:val="00F429FD"/>
    <w:rsid w:val="00F4623C"/>
    <w:rsid w:val="00F46AD7"/>
    <w:rsid w:val="00F53821"/>
    <w:rsid w:val="00F56399"/>
    <w:rsid w:val="00F610F7"/>
    <w:rsid w:val="00F63695"/>
    <w:rsid w:val="00F67AB3"/>
    <w:rsid w:val="00F67D99"/>
    <w:rsid w:val="00F70113"/>
    <w:rsid w:val="00F703B8"/>
    <w:rsid w:val="00F706A2"/>
    <w:rsid w:val="00F71D73"/>
    <w:rsid w:val="00F72351"/>
    <w:rsid w:val="00F72D94"/>
    <w:rsid w:val="00F74665"/>
    <w:rsid w:val="00F746E3"/>
    <w:rsid w:val="00F76C17"/>
    <w:rsid w:val="00F7709C"/>
    <w:rsid w:val="00F7750A"/>
    <w:rsid w:val="00F80006"/>
    <w:rsid w:val="00F80084"/>
    <w:rsid w:val="00F900F7"/>
    <w:rsid w:val="00F90E58"/>
    <w:rsid w:val="00F91CA6"/>
    <w:rsid w:val="00F95676"/>
    <w:rsid w:val="00F96401"/>
    <w:rsid w:val="00F9690B"/>
    <w:rsid w:val="00FA3F8B"/>
    <w:rsid w:val="00FA56FF"/>
    <w:rsid w:val="00FA5E5F"/>
    <w:rsid w:val="00FA767D"/>
    <w:rsid w:val="00FB1FB6"/>
    <w:rsid w:val="00FB5D44"/>
    <w:rsid w:val="00FB693B"/>
    <w:rsid w:val="00FC1A32"/>
    <w:rsid w:val="00FC1BD6"/>
    <w:rsid w:val="00FC36E6"/>
    <w:rsid w:val="00FC3C96"/>
    <w:rsid w:val="00FC4957"/>
    <w:rsid w:val="00FC60A0"/>
    <w:rsid w:val="00FC6B71"/>
    <w:rsid w:val="00FC7593"/>
    <w:rsid w:val="00FD0601"/>
    <w:rsid w:val="00FD2470"/>
    <w:rsid w:val="00FD5823"/>
    <w:rsid w:val="00FD5C66"/>
    <w:rsid w:val="00FD7BE0"/>
    <w:rsid w:val="00FE1054"/>
    <w:rsid w:val="00FE1187"/>
    <w:rsid w:val="00FE1BF4"/>
    <w:rsid w:val="00FE1C27"/>
    <w:rsid w:val="00FE5C31"/>
    <w:rsid w:val="00FE645D"/>
    <w:rsid w:val="00FF02FB"/>
    <w:rsid w:val="00FF0F20"/>
    <w:rsid w:val="00FF1B0E"/>
    <w:rsid w:val="00FF1E52"/>
    <w:rsid w:val="00FF268A"/>
    <w:rsid w:val="00FF748B"/>
    <w:rsid w:val="028C664A"/>
    <w:rsid w:val="02DF205F"/>
    <w:rsid w:val="03896C75"/>
    <w:rsid w:val="05D42735"/>
    <w:rsid w:val="062678BD"/>
    <w:rsid w:val="0696666C"/>
    <w:rsid w:val="07A76DC4"/>
    <w:rsid w:val="08744CE5"/>
    <w:rsid w:val="08F83CE5"/>
    <w:rsid w:val="096C3B49"/>
    <w:rsid w:val="0BB91BF7"/>
    <w:rsid w:val="0F6C6FAD"/>
    <w:rsid w:val="0FDB5AFA"/>
    <w:rsid w:val="1128233B"/>
    <w:rsid w:val="1170203B"/>
    <w:rsid w:val="120B758D"/>
    <w:rsid w:val="143D4CD7"/>
    <w:rsid w:val="147A5E14"/>
    <w:rsid w:val="14D85F6F"/>
    <w:rsid w:val="156B3351"/>
    <w:rsid w:val="16496BC0"/>
    <w:rsid w:val="169D2E4C"/>
    <w:rsid w:val="16D847D0"/>
    <w:rsid w:val="17783D44"/>
    <w:rsid w:val="17A417B8"/>
    <w:rsid w:val="18ED7A84"/>
    <w:rsid w:val="19C432D6"/>
    <w:rsid w:val="19E908CD"/>
    <w:rsid w:val="19E96889"/>
    <w:rsid w:val="19F77E03"/>
    <w:rsid w:val="1A980DF6"/>
    <w:rsid w:val="1E674B72"/>
    <w:rsid w:val="20797D96"/>
    <w:rsid w:val="21290752"/>
    <w:rsid w:val="23590CFC"/>
    <w:rsid w:val="27080E58"/>
    <w:rsid w:val="29A22C0C"/>
    <w:rsid w:val="2AA01F44"/>
    <w:rsid w:val="2AA07018"/>
    <w:rsid w:val="2AC95AD6"/>
    <w:rsid w:val="2BFB3D21"/>
    <w:rsid w:val="2CF42583"/>
    <w:rsid w:val="2D6F1C17"/>
    <w:rsid w:val="2FCA4BD2"/>
    <w:rsid w:val="30144363"/>
    <w:rsid w:val="30E877DE"/>
    <w:rsid w:val="31A737AC"/>
    <w:rsid w:val="31F962A6"/>
    <w:rsid w:val="3351534B"/>
    <w:rsid w:val="37E72E71"/>
    <w:rsid w:val="3A4F49E1"/>
    <w:rsid w:val="3BED7CBB"/>
    <w:rsid w:val="3BF5D113"/>
    <w:rsid w:val="3D2D1C7E"/>
    <w:rsid w:val="3DF1704D"/>
    <w:rsid w:val="3DFF76C8"/>
    <w:rsid w:val="3F8434E5"/>
    <w:rsid w:val="406334F2"/>
    <w:rsid w:val="40A8048F"/>
    <w:rsid w:val="40BA4A2D"/>
    <w:rsid w:val="4289104B"/>
    <w:rsid w:val="433C0D0A"/>
    <w:rsid w:val="446F4A3C"/>
    <w:rsid w:val="46D11996"/>
    <w:rsid w:val="46D30747"/>
    <w:rsid w:val="4787562B"/>
    <w:rsid w:val="48056462"/>
    <w:rsid w:val="48AB7C8F"/>
    <w:rsid w:val="49185668"/>
    <w:rsid w:val="4AAE0F6A"/>
    <w:rsid w:val="4B2D12E0"/>
    <w:rsid w:val="4BEB6B31"/>
    <w:rsid w:val="4C781BF9"/>
    <w:rsid w:val="4D453F63"/>
    <w:rsid w:val="4DB218D5"/>
    <w:rsid w:val="4DD36371"/>
    <w:rsid w:val="4DD81D53"/>
    <w:rsid w:val="4ECC4976"/>
    <w:rsid w:val="4F4C5EBA"/>
    <w:rsid w:val="4FD21AF4"/>
    <w:rsid w:val="515A2C19"/>
    <w:rsid w:val="52D92ACB"/>
    <w:rsid w:val="52EB3749"/>
    <w:rsid w:val="55055035"/>
    <w:rsid w:val="58DF8B24"/>
    <w:rsid w:val="59EC52E4"/>
    <w:rsid w:val="5B851896"/>
    <w:rsid w:val="5C6A21FF"/>
    <w:rsid w:val="5CA67F0E"/>
    <w:rsid w:val="5CFB69AF"/>
    <w:rsid w:val="5E042794"/>
    <w:rsid w:val="5FDC293E"/>
    <w:rsid w:val="60380F23"/>
    <w:rsid w:val="63F7C3C0"/>
    <w:rsid w:val="64AA2211"/>
    <w:rsid w:val="65873C70"/>
    <w:rsid w:val="658E1206"/>
    <w:rsid w:val="67AC4C4C"/>
    <w:rsid w:val="67D40F78"/>
    <w:rsid w:val="68E10D96"/>
    <w:rsid w:val="68F05E87"/>
    <w:rsid w:val="699C1031"/>
    <w:rsid w:val="69B813AB"/>
    <w:rsid w:val="6AD21D90"/>
    <w:rsid w:val="6BB640C5"/>
    <w:rsid w:val="6D850E01"/>
    <w:rsid w:val="6DBE3EEA"/>
    <w:rsid w:val="6FC31F0C"/>
    <w:rsid w:val="6FE969BF"/>
    <w:rsid w:val="6FFD4077"/>
    <w:rsid w:val="70657DB3"/>
    <w:rsid w:val="73566872"/>
    <w:rsid w:val="74D70DF7"/>
    <w:rsid w:val="74DECDF3"/>
    <w:rsid w:val="764D1724"/>
    <w:rsid w:val="76D84857"/>
    <w:rsid w:val="78217E0E"/>
    <w:rsid w:val="789F3DA6"/>
    <w:rsid w:val="78A52377"/>
    <w:rsid w:val="7A50047A"/>
    <w:rsid w:val="7AEF08F7"/>
    <w:rsid w:val="7B166252"/>
    <w:rsid w:val="7B5B7497"/>
    <w:rsid w:val="7DCE5C3B"/>
    <w:rsid w:val="7FEB23B0"/>
    <w:rsid w:val="9EFC19DD"/>
    <w:rsid w:val="BB57DFDB"/>
    <w:rsid w:val="BE7F7592"/>
    <w:rsid w:val="FECBD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b/>
      <w:sz w:val="36"/>
    </w:rPr>
  </w:style>
  <w:style w:type="paragraph" w:styleId="3">
    <w:name w:val="heading 2"/>
    <w:basedOn w:val="1"/>
    <w:next w:val="1"/>
    <w:link w:val="67"/>
    <w:qFormat/>
    <w:uiPriority w:val="0"/>
    <w:pPr>
      <w:keepNext/>
      <w:keepLines/>
      <w:spacing w:before="260" w:after="260" w:line="413" w:lineRule="auto"/>
      <w:jc w:val="center"/>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69"/>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1"/>
    <w:qFormat/>
    <w:uiPriority w:val="0"/>
    <w:pPr>
      <w:spacing w:line="240" w:lineRule="atLeast"/>
      <w:ind w:left="3920" w:firstLine="420"/>
      <w:jc w:val="center"/>
      <w:outlineLvl w:val="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link w:val="74"/>
    <w:qFormat/>
    <w:uiPriority w:val="39"/>
    <w:pPr>
      <w:spacing w:line="360" w:lineRule="auto"/>
      <w:jc w:val="left"/>
    </w:pPr>
    <w:rPr>
      <w:b/>
      <w:sz w:val="24"/>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spacing w:line="360" w:lineRule="auto"/>
      <w:ind w:left="560" w:leftChars="200"/>
      <w:jc w:val="left"/>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7"/>
    <w:qFormat/>
    <w:uiPriority w:val="0"/>
    <w:pPr>
      <w:spacing w:after="120" w:line="240" w:lineRule="auto"/>
      <w:ind w:left="420" w:leftChars="200" w:firstLine="20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正文缩进 Char"/>
    <w:link w:val="15"/>
    <w:qFormat/>
    <w:uiPriority w:val="99"/>
    <w:rPr>
      <w:kern w:val="2"/>
      <w:sz w:val="24"/>
    </w:rPr>
  </w:style>
  <w:style w:type="character" w:customStyle="1" w:styleId="70">
    <w:name w:val="批注文字 Char"/>
    <w:link w:val="19"/>
    <w:qFormat/>
    <w:uiPriority w:val="99"/>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目录 1 Char"/>
    <w:link w:val="37"/>
    <w:qFormat/>
    <w:uiPriority w:val="0"/>
    <w:rPr>
      <w:rFonts w:ascii="Times New Roman" w:hAnsi="Times New Roman" w:eastAsia="宋体"/>
      <w:b/>
      <w:sz w:val="24"/>
    </w:rPr>
  </w:style>
  <w:style w:type="character" w:customStyle="1" w:styleId="75">
    <w:name w:val="脚注文本 Char"/>
    <w:link w:val="40"/>
    <w:qFormat/>
    <w:uiPriority w:val="0"/>
    <w:rPr>
      <w:kern w:val="2"/>
      <w:sz w:val="18"/>
    </w:rPr>
  </w:style>
  <w:style w:type="character" w:customStyle="1" w:styleId="76">
    <w:name w:val="批注主题 Char"/>
    <w:link w:val="54"/>
    <w:qFormat/>
    <w:uiPriority w:val="0"/>
  </w:style>
  <w:style w:type="character" w:customStyle="1" w:styleId="77">
    <w:name w:val="正文首行缩进 2 Char"/>
    <w:link w:val="56"/>
    <w:qFormat/>
    <w:uiPriority w:val="0"/>
  </w:style>
  <w:style w:type="character" w:customStyle="1" w:styleId="78">
    <w:name w:val="font1"/>
    <w:qFormat/>
    <w:uiPriority w:val="0"/>
    <w:rPr>
      <w:color w:val="000000"/>
      <w:sz w:val="18"/>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标书正文:  0.74 厘米 Char1"/>
    <w:qFormat/>
    <w:uiPriority w:val="0"/>
    <w:rPr>
      <w:rFonts w:eastAsia="宋体"/>
      <w:kern w:val="2"/>
      <w:sz w:val="24"/>
      <w:lang w:val="en-US" w:eastAsia="zh-CN"/>
    </w:rPr>
  </w:style>
  <w:style w:type="character" w:customStyle="1" w:styleId="82">
    <w:name w:val="正文 + 三号 Char"/>
    <w:qFormat/>
    <w:uiPriority w:val="0"/>
    <w:rPr>
      <w:rFonts w:eastAsia="宋体"/>
      <w:kern w:val="2"/>
      <w:sz w:val="21"/>
      <w:lang w:val="en-US" w:eastAsia="zh-CN"/>
    </w:rPr>
  </w:style>
  <w:style w:type="character" w:customStyle="1" w:styleId="83">
    <w:name w:val="top-det1"/>
    <w:qFormat/>
    <w:uiPriority w:val="0"/>
    <w:rPr>
      <w:b/>
      <w:color w:val="000000"/>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Table Text Char Char Char Char"/>
    <w:link w:val="88"/>
    <w:qFormat/>
    <w:uiPriority w:val="0"/>
    <w:rPr>
      <w:rFonts w:ascii="Arial" w:hAnsi="Arial"/>
      <w:kern w:val="2"/>
      <w:sz w:val="18"/>
      <w:lang w:val="en-US" w:eastAsia="zh-CN" w:bidi="ar-SA"/>
    </w:rPr>
  </w:style>
  <w:style w:type="paragraph" w:customStyle="1" w:styleId="88">
    <w:name w:val="Table Text Char Char Char"/>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未命名11"/>
    <w:qFormat/>
    <w:uiPriority w:val="0"/>
    <w:rPr>
      <w:color w:val="77FFFF"/>
      <w:sz w:val="24"/>
    </w:rPr>
  </w:style>
  <w:style w:type="character" w:customStyle="1" w:styleId="90">
    <w:name w:val="content-white1"/>
    <w:qFormat/>
    <w:uiPriority w:val="0"/>
    <w:rPr>
      <w:rFonts w:ascii="_x000B__x000C_" w:hAnsi="_x000B__x000C_"/>
      <w:color w:val="auto"/>
      <w:sz w:val="18"/>
      <w:u w:val="none"/>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6"/>
    <w:qFormat/>
    <w:uiPriority w:val="0"/>
    <w:rPr>
      <w:rFonts w:ascii="仿宋_GB2312" w:eastAsia="仿宋_GB2312"/>
      <w:kern w:val="2"/>
      <w:sz w:val="32"/>
    </w:rPr>
  </w:style>
  <w:style w:type="character" w:customStyle="1" w:styleId="93">
    <w:name w:val="Char Char7"/>
    <w:qFormat/>
    <w:uiPriority w:val="0"/>
    <w:rPr>
      <w:rFonts w:ascii="宋体" w:hAnsi="宋体" w:eastAsia="宋体"/>
      <w:kern w:val="2"/>
      <w:sz w:val="28"/>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H2 Char"/>
    <w:qFormat/>
    <w:uiPriority w:val="0"/>
    <w:rPr>
      <w:rFonts w:ascii="Arial" w:hAnsi="Arial" w:eastAsia="宋体"/>
      <w:kern w:val="2"/>
      <w:sz w:val="28"/>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Char Char3"/>
    <w:qFormat/>
    <w:uiPriority w:val="0"/>
    <w:rPr>
      <w:rFonts w:eastAsia="宋体"/>
      <w:kern w:val="2"/>
      <w:sz w:val="18"/>
      <w:lang w:val="en-US" w:eastAsia="zh-CN"/>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v151"/>
    <w:qFormat/>
    <w:uiPriority w:val="0"/>
    <w:rPr>
      <w:sz w:val="18"/>
    </w:rPr>
  </w:style>
  <w:style w:type="character" w:customStyle="1" w:styleId="100">
    <w:name w:val="样式 宋体"/>
    <w:qFormat/>
    <w:uiPriority w:val="0"/>
    <w:rPr>
      <w:rFonts w:ascii="宋体" w:hAnsi="宋体" w:eastAsia="宋体"/>
      <w:sz w:val="28"/>
    </w:rPr>
  </w:style>
  <w:style w:type="character" w:customStyle="1" w:styleId="101">
    <w:name w:val="Char Char11"/>
    <w:qFormat/>
    <w:uiPriority w:val="0"/>
    <w:rPr>
      <w:rFonts w:ascii="宋体"/>
      <w:kern w:val="2"/>
      <w:sz w:val="28"/>
    </w:rPr>
  </w:style>
  <w:style w:type="character" w:customStyle="1" w:styleId="102">
    <w:name w:val="正文文本缩进 2 字符"/>
    <w:qFormat/>
    <w:uiPriority w:val="0"/>
    <w:rPr>
      <w:kern w:val="2"/>
      <w:sz w:val="28"/>
    </w:rPr>
  </w:style>
  <w:style w:type="character" w:customStyle="1" w:styleId="103">
    <w:name w:val="Char Char2"/>
    <w:qFormat/>
    <w:uiPriority w:val="0"/>
    <w:rPr>
      <w:rFonts w:eastAsia="宋体"/>
      <w:kern w:val="2"/>
      <w:sz w:val="18"/>
      <w:lang w:val="en-US" w:eastAsia="zh-CN"/>
    </w:rPr>
  </w:style>
  <w:style w:type="character" w:customStyle="1" w:styleId="104">
    <w:name w:val="crowed11"/>
    <w:qFormat/>
    <w:uiPriority w:val="0"/>
    <w:rPr>
      <w:rFonts w:hint="default" w:ascii="_x000B__x000C_" w:hAnsi="_x000B__x000C_"/>
      <w:sz w:val="24"/>
    </w:rPr>
  </w:style>
  <w:style w:type="character" w:customStyle="1" w:styleId="105">
    <w:name w:val="Char Char4"/>
    <w:qFormat/>
    <w:uiPriority w:val="0"/>
    <w:rPr>
      <w:rFonts w:eastAsia="宋体"/>
      <w:b/>
      <w:kern w:val="2"/>
      <w:sz w:val="21"/>
      <w:lang w:val="en-US" w:eastAsia="zh-CN"/>
    </w:rPr>
  </w:style>
  <w:style w:type="character" w:customStyle="1" w:styleId="106">
    <w:name w:val="title_emph1"/>
    <w:qFormat/>
    <w:uiPriority w:val="0"/>
    <w:rPr>
      <w:rFonts w:hint="default" w:ascii="Arial" w:hAnsi="Arial"/>
      <w:b/>
      <w:sz w:val="20"/>
    </w:rPr>
  </w:style>
  <w:style w:type="paragraph" w:customStyle="1" w:styleId="107">
    <w:name w:val="1"/>
    <w:basedOn w:val="1"/>
    <w:next w:val="30"/>
    <w:qFormat/>
    <w:uiPriority w:val="0"/>
    <w:rPr>
      <w:rFonts w:ascii="宋体" w:hAnsi="Courier New"/>
      <w:sz w:val="21"/>
    </w:rPr>
  </w:style>
  <w:style w:type="paragraph" w:customStyle="1" w:styleId="108">
    <w:name w:val="正文（首行不缩进）"/>
    <w:basedOn w:val="1"/>
    <w:qFormat/>
    <w:uiPriority w:val="0"/>
    <w:pPr>
      <w:autoSpaceDE w:val="0"/>
      <w:autoSpaceDN w:val="0"/>
      <w:adjustRightInd w:val="0"/>
      <w:spacing w:line="360" w:lineRule="auto"/>
      <w:jc w:val="left"/>
    </w:pPr>
    <w:rPr>
      <w:kern w:val="0"/>
      <w:sz w:val="21"/>
    </w:rPr>
  </w:style>
  <w:style w:type="paragraph" w:customStyle="1" w:styleId="10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0">
    <w:name w:val="正文 + 三号"/>
    <w:basedOn w:val="1"/>
    <w:qFormat/>
    <w:uiPriority w:val="0"/>
    <w:rPr>
      <w:sz w:val="21"/>
    </w:rPr>
  </w:style>
  <w:style w:type="paragraph" w:customStyle="1" w:styleId="11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2">
    <w:name w:val="Table Contents"/>
    <w:basedOn w:val="22"/>
    <w:qFormat/>
    <w:uiPriority w:val="0"/>
    <w:pPr>
      <w:suppressAutoHyphens/>
      <w:jc w:val="left"/>
    </w:pPr>
    <w:rPr>
      <w:rFonts w:ascii="Times New Roman" w:eastAsia="Times New Roman"/>
      <w:kern w:val="0"/>
      <w:sz w:val="24"/>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文本1"/>
    <w:basedOn w:val="1"/>
    <w:qFormat/>
    <w:uiPriority w:val="0"/>
    <w:pPr>
      <w:adjustRightInd w:val="0"/>
      <w:spacing w:line="312" w:lineRule="atLeast"/>
      <w:jc w:val="center"/>
      <w:textAlignment w:val="baseline"/>
    </w:pPr>
    <w:rPr>
      <w:kern w:val="0"/>
      <w:sz w:val="18"/>
    </w:rPr>
  </w:style>
  <w:style w:type="paragraph" w:customStyle="1" w:styleId="115">
    <w:name w:val="Char1 Char Char Char"/>
    <w:basedOn w:val="1"/>
    <w:qFormat/>
    <w:uiPriority w:val="0"/>
    <w:rPr>
      <w:rFonts w:ascii="Tahoma" w:hAnsi="Tahoma"/>
      <w:sz w:val="30"/>
    </w:rPr>
  </w:style>
  <w:style w:type="paragraph" w:customStyle="1" w:styleId="116">
    <w:name w:val="默认段落字体 Para Char Char Char Char Char Char Char Char Char1 Char Char Char Char"/>
    <w:basedOn w:val="1"/>
    <w:qFormat/>
    <w:uiPriority w:val="0"/>
    <w:rPr>
      <w:rFonts w:ascii="Tahoma" w:hAnsi="Tahoma"/>
      <w:sz w:val="24"/>
    </w:rPr>
  </w:style>
  <w:style w:type="paragraph" w:customStyle="1" w:styleId="117">
    <w:name w:val="_Style 116"/>
    <w:qFormat/>
    <w:uiPriority w:val="0"/>
    <w:rPr>
      <w:rFonts w:ascii="Times New Roman" w:hAnsi="Times New Roman" w:eastAsia="宋体" w:cs="Times New Roman"/>
      <w:kern w:val="2"/>
      <w:sz w:val="21"/>
      <w:lang w:val="en-US" w:eastAsia="zh-CN" w:bidi="ar-SA"/>
    </w:rPr>
  </w:style>
  <w:style w:type="paragraph" w:customStyle="1" w:styleId="11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9">
    <w:name w:val="样式 首行缩进:  0.74 厘米"/>
    <w:basedOn w:val="1"/>
    <w:qFormat/>
    <w:uiPriority w:val="0"/>
    <w:pPr>
      <w:spacing w:line="360" w:lineRule="auto"/>
      <w:ind w:firstLine="420"/>
    </w:pPr>
    <w:rPr>
      <w:sz w:val="24"/>
    </w:rPr>
  </w:style>
  <w:style w:type="paragraph" w:customStyle="1" w:styleId="1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首行缩进 1"/>
    <w:basedOn w:val="1"/>
    <w:qFormat/>
    <w:uiPriority w:val="0"/>
    <w:pPr>
      <w:spacing w:after="120" w:line="360" w:lineRule="auto"/>
      <w:ind w:firstLine="200" w:firstLineChars="200"/>
    </w:pPr>
    <w:rPr>
      <w:sz w:val="24"/>
    </w:rPr>
  </w:style>
  <w:style w:type="paragraph" w:customStyle="1" w:styleId="122">
    <w:name w:val="正文4"/>
    <w:basedOn w:val="1"/>
    <w:qFormat/>
    <w:uiPriority w:val="0"/>
    <w:pPr>
      <w:tabs>
        <w:tab w:val="left" w:pos="1275"/>
      </w:tabs>
      <w:spacing w:before="60" w:after="60" w:line="360" w:lineRule="auto"/>
      <w:ind w:left="820" w:leftChars="400" w:hanging="705"/>
    </w:pPr>
    <w:rPr>
      <w:sz w:val="24"/>
    </w:rPr>
  </w:style>
  <w:style w:type="paragraph" w:customStyle="1" w:styleId="123">
    <w:name w:val="Title - Date"/>
    <w:basedOn w:val="53"/>
    <w:next w:val="1"/>
    <w:qFormat/>
    <w:uiPriority w:val="0"/>
    <w:pPr>
      <w:spacing w:before="240" w:after="720"/>
    </w:pPr>
    <w:rPr>
      <w:sz w:val="28"/>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Note"/>
    <w:basedOn w:val="1"/>
    <w:qFormat/>
    <w:uiPriority w:val="0"/>
    <w:pPr>
      <w:pBdr>
        <w:top w:val="single" w:color="auto" w:sz="12" w:space="3"/>
        <w:bottom w:val="single" w:color="auto" w:sz="12" w:space="3"/>
      </w:pBdr>
      <w:spacing w:line="360" w:lineRule="auto"/>
    </w:pPr>
    <w:rPr>
      <w:sz w:val="24"/>
    </w:rPr>
  </w:style>
  <w:style w:type="paragraph" w:customStyle="1" w:styleId="13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1">
    <w:name w:val="表格文本"/>
    <w:qFormat/>
    <w:uiPriority w:val="0"/>
    <w:pPr>
      <w:tabs>
        <w:tab w:val="decimal" w:pos="0"/>
      </w:tabs>
    </w:pPr>
    <w:rPr>
      <w:rFonts w:ascii="Arial" w:hAnsi="Arial" w:eastAsia="宋体" w:cs="Times New Roman"/>
      <w:sz w:val="21"/>
      <w:lang w:val="en-US" w:eastAsia="zh-CN" w:bidi="ar-SA"/>
    </w:rPr>
  </w:style>
  <w:style w:type="paragraph" w:customStyle="1" w:styleId="132">
    <w:name w:val="Char Char Char Char Char"/>
    <w:basedOn w:val="1"/>
    <w:qFormat/>
    <w:uiPriority w:val="0"/>
    <w:pPr>
      <w:tabs>
        <w:tab w:val="left" w:pos="425"/>
      </w:tabs>
      <w:ind w:left="1620" w:hanging="360"/>
    </w:pPr>
    <w:rPr>
      <w:rFonts w:ascii="Tahoma" w:hAnsi="Tahoma"/>
      <w:sz w:val="24"/>
    </w:rPr>
  </w:style>
  <w:style w:type="paragraph" w:customStyle="1" w:styleId="1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头文本"/>
    <w:qFormat/>
    <w:uiPriority w:val="0"/>
    <w:pPr>
      <w:jc w:val="center"/>
    </w:pPr>
    <w:rPr>
      <w:rFonts w:ascii="Arial" w:hAnsi="Arial" w:eastAsia="宋体" w:cs="Times New Roman"/>
      <w:b/>
      <w:sz w:val="21"/>
      <w:lang w:val="en-US" w:eastAsia="zh-CN" w:bidi="ar-SA"/>
    </w:rPr>
  </w:style>
  <w:style w:type="paragraph" w:customStyle="1" w:styleId="1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Char Char Char Char Char Char Char"/>
    <w:basedOn w:val="17"/>
    <w:qFormat/>
    <w:uiPriority w:val="0"/>
    <w:rPr>
      <w:rFonts w:ascii="宋体" w:hAnsi="Tahoma"/>
    </w:rPr>
  </w:style>
  <w:style w:type="paragraph" w:customStyle="1" w:styleId="137">
    <w:name w:val="样式 样式 首行缩进:  2 字符 + 首行缩进:  2 字符"/>
    <w:basedOn w:val="1"/>
    <w:qFormat/>
    <w:uiPriority w:val="0"/>
    <w:pPr>
      <w:numPr>
        <w:ilvl w:val="0"/>
        <w:numId w:val="4"/>
      </w:numPr>
      <w:tabs>
        <w:tab w:val="clear" w:pos="1230"/>
      </w:tabs>
      <w:spacing w:line="360" w:lineRule="auto"/>
      <w:ind w:firstLine="480" w:firstLineChars="200"/>
    </w:pPr>
    <w:rPr>
      <w:sz w:val="24"/>
    </w:rPr>
  </w:style>
  <w:style w:type="paragraph" w:customStyle="1" w:styleId="138">
    <w:name w:val="Char Char Char"/>
    <w:basedOn w:val="1"/>
    <w:qFormat/>
    <w:uiPriority w:val="0"/>
    <w:rPr>
      <w:rFonts w:ascii="Tahoma" w:hAnsi="Tahoma"/>
      <w:sz w:val="24"/>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1">
    <w:name w:val="标书正文:  0.74 厘米"/>
    <w:basedOn w:val="1"/>
    <w:qFormat/>
    <w:uiPriority w:val="0"/>
    <w:pPr>
      <w:snapToGrid w:val="0"/>
      <w:spacing w:line="360" w:lineRule="auto"/>
      <w:ind w:firstLine="420"/>
    </w:pPr>
    <w:rPr>
      <w:sz w:val="24"/>
    </w:rPr>
  </w:style>
  <w:style w:type="paragraph" w:customStyle="1" w:styleId="142">
    <w:name w:val="标准正文"/>
    <w:basedOn w:val="23"/>
    <w:qFormat/>
    <w:uiPriority w:val="0"/>
    <w:pPr>
      <w:spacing w:before="60" w:after="60" w:line="360" w:lineRule="auto"/>
      <w:ind w:left="0" w:firstLine="482"/>
    </w:pPr>
    <w:rPr>
      <w:rFonts w:ascii="Arial" w:hAnsi="Arial"/>
      <w:sz w:val="24"/>
    </w:rPr>
  </w:style>
  <w:style w:type="paragraph" w:customStyle="1" w:styleId="143">
    <w:name w:val="样式 标题 1 + 居中 段前: 6 磅 段后: 6 磅 行距: 1.5 倍行距"/>
    <w:basedOn w:val="2"/>
    <w:qFormat/>
    <w:uiPriority w:val="0"/>
    <w:pPr>
      <w:keepLines/>
      <w:adjustRightInd w:val="0"/>
      <w:spacing w:before="120" w:after="120" w:line="360" w:lineRule="auto"/>
    </w:pPr>
    <w:rPr>
      <w:rFonts w:ascii="Times New Roman"/>
      <w:b w:val="0"/>
      <w:kern w:val="44"/>
      <w:sz w:val="32"/>
    </w:rPr>
  </w:style>
  <w:style w:type="paragraph" w:customStyle="1" w:styleId="144">
    <w:name w:val="二级条标题"/>
    <w:basedOn w:val="145"/>
    <w:next w:val="113"/>
    <w:qFormat/>
    <w:uiPriority w:val="0"/>
    <w:pPr>
      <w:ind w:left="840"/>
      <w:outlineLvl w:val="3"/>
    </w:pPr>
  </w:style>
  <w:style w:type="paragraph" w:customStyle="1" w:styleId="145">
    <w:name w:val="一级条标题"/>
    <w:basedOn w:val="146"/>
    <w:next w:val="113"/>
    <w:qFormat/>
    <w:uiPriority w:val="0"/>
    <w:pPr>
      <w:numPr>
        <w:numId w:val="0"/>
      </w:numPr>
      <w:spacing w:before="0" w:beforeLines="0" w:after="0" w:afterLines="0"/>
      <w:ind w:left="525"/>
      <w:outlineLvl w:val="2"/>
    </w:pPr>
    <w:rPr>
      <w:sz w:val="21"/>
    </w:rPr>
  </w:style>
  <w:style w:type="paragraph" w:customStyle="1" w:styleId="14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样式4"/>
    <w:basedOn w:val="5"/>
    <w:qFormat/>
    <w:uiPriority w:val="0"/>
    <w:pPr>
      <w:adjustRightInd w:val="0"/>
      <w:snapToGrid w:val="0"/>
    </w:pPr>
  </w:style>
  <w:style w:type="paragraph" w:customStyle="1" w:styleId="15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2">
    <w:name w:val="文本框样式1"/>
    <w:basedOn w:val="1"/>
    <w:qFormat/>
    <w:uiPriority w:val="0"/>
    <w:pPr>
      <w:adjustRightInd w:val="0"/>
      <w:snapToGrid w:val="0"/>
      <w:spacing w:before="60" w:line="180" w:lineRule="exact"/>
      <w:jc w:val="center"/>
    </w:pPr>
    <w:rPr>
      <w:sz w:val="21"/>
    </w:rPr>
  </w:style>
  <w:style w:type="paragraph" w:customStyle="1" w:styleId="153">
    <w:name w:val="Char Char14 Char Char"/>
    <w:basedOn w:val="1"/>
    <w:qFormat/>
    <w:uiPriority w:val="0"/>
    <w:rPr>
      <w:sz w:val="21"/>
      <w:szCs w:val="24"/>
    </w:rPr>
  </w:style>
  <w:style w:type="paragraph" w:customStyle="1" w:styleId="154">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55">
    <w:name w:val="样式3"/>
    <w:basedOn w:val="2"/>
    <w:next w:val="2"/>
    <w:qFormat/>
    <w:uiPriority w:val="0"/>
    <w:pPr>
      <w:keepLines/>
      <w:adjustRightInd w:val="0"/>
      <w:spacing w:before="340" w:after="330" w:line="576" w:lineRule="auto"/>
    </w:pPr>
    <w:rPr>
      <w:rFonts w:ascii="Times New Roman" w:eastAsia="黑体"/>
      <w:b w:val="0"/>
      <w:kern w:val="44"/>
      <w:sz w:val="44"/>
    </w:rPr>
  </w:style>
  <w:style w:type="paragraph" w:customStyle="1" w:styleId="15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0">
    <w:name w:val="列出段落1"/>
    <w:basedOn w:val="1"/>
    <w:qFormat/>
    <w:uiPriority w:val="34"/>
    <w:pPr>
      <w:ind w:firstLine="420" w:firstLineChars="200"/>
    </w:pPr>
    <w:rPr>
      <w:rFonts w:ascii="Calibri" w:hAnsi="Calibri"/>
      <w:sz w:val="21"/>
      <w:szCs w:val="24"/>
    </w:rPr>
  </w:style>
  <w:style w:type="paragraph" w:customStyle="1" w:styleId="16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Title - Revision"/>
    <w:basedOn w:val="53"/>
    <w:qFormat/>
    <w:uiPriority w:val="0"/>
    <w:pPr>
      <w:spacing w:before="720"/>
    </w:pPr>
  </w:style>
  <w:style w:type="paragraph" w:customStyle="1" w:styleId="164">
    <w:name w:val="段落正文"/>
    <w:basedOn w:val="1"/>
    <w:qFormat/>
    <w:uiPriority w:val="0"/>
    <w:pPr>
      <w:spacing w:before="156" w:beforeLines="50" w:line="360" w:lineRule="auto"/>
      <w:ind w:firstLine="200" w:firstLineChars="200"/>
    </w:pPr>
    <w:rPr>
      <w:spacing w:val="2"/>
      <w:sz w:val="24"/>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67">
    <w:name w:val="正文表格"/>
    <w:basedOn w:val="1"/>
    <w:qFormat/>
    <w:uiPriority w:val="0"/>
    <w:pPr>
      <w:adjustRightInd w:val="0"/>
      <w:spacing w:before="40" w:after="40"/>
    </w:pPr>
    <w:rPr>
      <w:sz w:val="24"/>
    </w:rPr>
  </w:style>
  <w:style w:type="paragraph" w:customStyle="1" w:styleId="16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9">
    <w:name w:val="Char1"/>
    <w:basedOn w:val="1"/>
    <w:qFormat/>
    <w:uiPriority w:val="0"/>
    <w:rPr>
      <w:sz w:val="21"/>
    </w:rPr>
  </w:style>
  <w:style w:type="paragraph" w:customStyle="1" w:styleId="17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首行缩进"/>
    <w:basedOn w:val="1"/>
    <w:qFormat/>
    <w:uiPriority w:val="0"/>
    <w:pPr>
      <w:numPr>
        <w:ilvl w:val="0"/>
        <w:numId w:val="7"/>
      </w:numPr>
      <w:spacing w:line="360" w:lineRule="auto"/>
    </w:pPr>
    <w:rPr>
      <w:rFonts w:eastAsia="仿宋_GB2312"/>
    </w:rPr>
  </w:style>
  <w:style w:type="paragraph" w:customStyle="1" w:styleId="178">
    <w:name w:val="Char2"/>
    <w:basedOn w:val="1"/>
    <w:qFormat/>
    <w:uiPriority w:val="0"/>
    <w:pPr>
      <w:spacing w:line="240" w:lineRule="atLeast"/>
      <w:ind w:left="420" w:firstLine="420"/>
    </w:pPr>
    <w:rPr>
      <w:kern w:val="0"/>
      <w:sz w:val="21"/>
    </w:rPr>
  </w:style>
  <w:style w:type="paragraph" w:customStyle="1" w:styleId="179">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1">
    <w:name w:val="正文文本 21"/>
    <w:basedOn w:val="1"/>
    <w:qFormat/>
    <w:uiPriority w:val="0"/>
    <w:pPr>
      <w:adjustRightInd w:val="0"/>
      <w:spacing w:before="120" w:line="360" w:lineRule="auto"/>
      <w:ind w:firstLine="480"/>
      <w:textAlignment w:val="baseline"/>
    </w:pPr>
    <w:rPr>
      <w:sz w:val="24"/>
    </w:rPr>
  </w:style>
  <w:style w:type="paragraph" w:customStyle="1" w:styleId="182">
    <w:name w:val="表头样式"/>
    <w:basedOn w:val="1"/>
    <w:qFormat/>
    <w:uiPriority w:val="0"/>
    <w:pPr>
      <w:autoSpaceDE w:val="0"/>
      <w:autoSpaceDN w:val="0"/>
      <w:adjustRightInd w:val="0"/>
      <w:spacing w:line="360" w:lineRule="auto"/>
      <w:jc w:val="left"/>
    </w:pPr>
    <w:rPr>
      <w:b/>
      <w:kern w:val="0"/>
      <w:sz w:val="21"/>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样式1"/>
    <w:basedOn w:val="5"/>
    <w:qFormat/>
    <w:uiPriority w:val="0"/>
    <w:pPr>
      <w:tabs>
        <w:tab w:val="left" w:pos="720"/>
      </w:tabs>
      <w:spacing w:before="500" w:after="260" w:line="560" w:lineRule="atLeast"/>
      <w:ind w:left="420" w:hanging="420"/>
    </w:pPr>
  </w:style>
  <w:style w:type="paragraph" w:customStyle="1" w:styleId="18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样式 正文缩进正文（首行缩进两字）表正文正文非缩进特点标题4段1 + 首行缩进:  2 字符"/>
    <w:basedOn w:val="15"/>
    <w:qFormat/>
    <w:uiPriority w:val="0"/>
    <w:pPr>
      <w:ind w:firstLine="480" w:firstLineChars="200"/>
    </w:pPr>
  </w:style>
  <w:style w:type="paragraph" w:customStyle="1" w:styleId="188">
    <w:name w:val="Style Heading 3h3Heading 3 - oldLevel 3 HeadH3level_3PIM 3se..."/>
    <w:basedOn w:val="4"/>
    <w:qFormat/>
    <w:uiPriority w:val="0"/>
    <w:pPr>
      <w:tabs>
        <w:tab w:val="left" w:pos="709"/>
        <w:tab w:val="left" w:pos="1620"/>
      </w:tabs>
      <w:ind w:left="1620" w:hanging="360"/>
    </w:pPr>
  </w:style>
  <w:style w:type="paragraph" w:customStyle="1" w:styleId="189">
    <w:name w:val="样式 行距: 1.5 倍行距1"/>
    <w:basedOn w:val="1"/>
    <w:qFormat/>
    <w:uiPriority w:val="0"/>
    <w:pPr>
      <w:snapToGrid w:val="0"/>
    </w:pPr>
    <w:rPr>
      <w:sz w:val="21"/>
    </w:rPr>
  </w:style>
  <w:style w:type="paragraph" w:customStyle="1" w:styleId="190">
    <w:name w:val="列表项目"/>
    <w:basedOn w:val="1"/>
    <w:qFormat/>
    <w:uiPriority w:val="0"/>
    <w:pPr>
      <w:tabs>
        <w:tab w:val="left" w:pos="420"/>
      </w:tabs>
      <w:spacing w:line="288" w:lineRule="auto"/>
      <w:ind w:left="840" w:leftChars="200" w:hanging="420" w:hangingChars="200"/>
    </w:pPr>
    <w:rPr>
      <w:sz w:val="21"/>
    </w:rPr>
  </w:style>
  <w:style w:type="paragraph" w:customStyle="1" w:styleId="19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Char Char Char Char Char Char Char Char Char Char Char Char Char Char Char Char"/>
    <w:basedOn w:val="1"/>
    <w:qFormat/>
    <w:uiPriority w:val="0"/>
    <w:pPr>
      <w:tabs>
        <w:tab w:val="left" w:pos="360"/>
      </w:tabs>
    </w:pPr>
    <w:rPr>
      <w:sz w:val="24"/>
    </w:rPr>
  </w:style>
  <w:style w:type="paragraph" w:customStyle="1" w:styleId="195">
    <w:name w:val="样式2"/>
    <w:basedOn w:val="5"/>
    <w:qFormat/>
    <w:uiPriority w:val="0"/>
    <w:pPr>
      <w:numPr>
        <w:ilvl w:val="0"/>
        <w:numId w:val="9"/>
      </w:numPr>
      <w:spacing w:before="560" w:line="400" w:lineRule="exact"/>
      <w:jc w:val="center"/>
      <w:outlineLvl w:val="0"/>
    </w:pPr>
    <w:rPr>
      <w:b w:val="0"/>
      <w:sz w:val="44"/>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关键词"/>
    <w:basedOn w:val="1"/>
    <w:next w:val="1"/>
    <w:qFormat/>
    <w:uiPriority w:val="0"/>
    <w:pPr>
      <w:spacing w:line="360" w:lineRule="auto"/>
    </w:pPr>
    <w:rPr>
      <w:rFonts w:eastAsia="黑体"/>
      <w:sz w:val="20"/>
    </w:rPr>
  </w:style>
  <w:style w:type="paragraph" w:customStyle="1" w:styleId="19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9">
    <w:name w:val="Char Char1 Char"/>
    <w:basedOn w:val="1"/>
    <w:qFormat/>
    <w:uiPriority w:val="0"/>
    <w:rPr>
      <w:rFonts w:ascii="Tahoma" w:hAnsi="Tahoma"/>
      <w:sz w:val="24"/>
      <w:szCs w:val="24"/>
    </w:rPr>
  </w:style>
  <w:style w:type="paragraph" w:customStyle="1" w:styleId="200">
    <w:name w:val="Char1 Char Char Char1"/>
    <w:basedOn w:val="1"/>
    <w:qFormat/>
    <w:uiPriority w:val="0"/>
    <w:rPr>
      <w:rFonts w:ascii="Tahoma" w:hAnsi="Tahoma"/>
      <w:sz w:val="24"/>
    </w:rPr>
  </w:style>
  <w:style w:type="paragraph" w:customStyle="1" w:styleId="201">
    <w:name w:val="内容标题"/>
    <w:basedOn w:val="17"/>
    <w:qFormat/>
    <w:uiPriority w:val="0"/>
    <w:rPr>
      <w:rFonts w:ascii="Tahoma" w:hAnsi="Tahoma"/>
      <w:sz w:val="24"/>
    </w:rPr>
  </w:style>
  <w:style w:type="paragraph" w:customStyle="1" w:styleId="202">
    <w:name w:val="p0"/>
    <w:basedOn w:val="1"/>
    <w:qFormat/>
    <w:uiPriority w:val="99"/>
    <w:pPr>
      <w:widowControl/>
    </w:pPr>
    <w:rPr>
      <w:kern w:val="0"/>
      <w:sz w:val="21"/>
      <w:szCs w:val="21"/>
    </w:rPr>
  </w:style>
  <w:style w:type="paragraph" w:customStyle="1" w:styleId="20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0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7">
    <w:name w:val="没有缩进（为图形使用）"/>
    <w:basedOn w:val="1"/>
    <w:qFormat/>
    <w:uiPriority w:val="0"/>
    <w:pPr>
      <w:spacing w:before="120" w:after="120" w:line="360" w:lineRule="auto"/>
    </w:pPr>
    <w:rPr>
      <w:sz w:val="24"/>
    </w:rPr>
  </w:style>
  <w:style w:type="paragraph" w:customStyle="1" w:styleId="208">
    <w:name w:val="标题无"/>
    <w:basedOn w:val="1"/>
    <w:qFormat/>
    <w:uiPriority w:val="0"/>
    <w:pPr>
      <w:spacing w:line="360" w:lineRule="auto"/>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摘要"/>
    <w:basedOn w:val="1"/>
    <w:next w:val="3"/>
    <w:qFormat/>
    <w:uiPriority w:val="0"/>
    <w:pPr>
      <w:spacing w:line="360" w:lineRule="auto"/>
    </w:pPr>
    <w:rPr>
      <w:rFonts w:eastAsia="黑体"/>
      <w:sz w:val="20"/>
    </w:rPr>
  </w:style>
  <w:style w:type="paragraph" w:customStyle="1" w:styleId="212">
    <w:name w:val="Char Char 字元 字元 字元 Char Char Char Char"/>
    <w:basedOn w:val="1"/>
    <w:qFormat/>
    <w:uiPriority w:val="0"/>
    <w:pPr>
      <w:adjustRightInd w:val="0"/>
      <w:spacing w:line="360" w:lineRule="auto"/>
    </w:pPr>
    <w:rPr>
      <w:kern w:val="0"/>
      <w:sz w:val="24"/>
    </w:rPr>
  </w:style>
  <w:style w:type="paragraph" w:customStyle="1" w:styleId="213">
    <w:name w:val="二级列表"/>
    <w:basedOn w:val="164"/>
    <w:next w:val="164"/>
    <w:qFormat/>
    <w:uiPriority w:val="0"/>
    <w:pPr>
      <w:tabs>
        <w:tab w:val="left" w:pos="2120"/>
      </w:tabs>
      <w:ind w:firstLine="0" w:firstLineChars="0"/>
    </w:pPr>
    <w:rPr>
      <w:b/>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图片文字"/>
    <w:basedOn w:val="1"/>
    <w:qFormat/>
    <w:uiPriority w:val="0"/>
    <w:pPr>
      <w:spacing w:line="240" w:lineRule="atLeast"/>
      <w:jc w:val="center"/>
    </w:pPr>
    <w:rPr>
      <w:sz w:val="21"/>
    </w:rPr>
  </w:style>
  <w:style w:type="paragraph" w:customStyle="1" w:styleId="21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9">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Char2 Char Char Char Char Char Char"/>
    <w:basedOn w:val="1"/>
    <w:qFormat/>
    <w:uiPriority w:val="0"/>
    <w:rPr>
      <w:rFonts w:ascii="仿宋_GB2312"/>
      <w:b/>
      <w:sz w:val="30"/>
    </w:rPr>
  </w:style>
  <w:style w:type="paragraph" w:customStyle="1" w:styleId="222">
    <w:name w:val="编号正文"/>
    <w:basedOn w:val="193"/>
    <w:qFormat/>
    <w:uiPriority w:val="0"/>
    <w:pPr>
      <w:snapToGrid/>
      <w:spacing w:line="360" w:lineRule="auto"/>
      <w:ind w:left="1407" w:hanging="1047"/>
      <w:jc w:val="left"/>
    </w:pPr>
    <w:rPr>
      <w:rFonts w:eastAsia="仿宋_GB2312"/>
    </w:rPr>
  </w:style>
  <w:style w:type="paragraph" w:customStyle="1" w:styleId="223">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6">
    <w:name w:val="文章正文"/>
    <w:basedOn w:val="1"/>
    <w:qFormat/>
    <w:uiPriority w:val="0"/>
    <w:pPr>
      <w:ind w:firstLine="560" w:firstLineChars="200"/>
    </w:pPr>
    <w:rPr>
      <w:rFonts w:ascii="仿宋_GB2312" w:hAnsi="宋体" w:eastAsia="仿宋_GB2312"/>
      <w:color w:val="000000"/>
    </w:rPr>
  </w:style>
  <w:style w:type="paragraph" w:customStyle="1" w:styleId="2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2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1">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Char Char Char Char Char Char Char1"/>
    <w:basedOn w:val="1"/>
    <w:qFormat/>
    <w:uiPriority w:val="0"/>
    <w:rPr>
      <w:rFonts w:ascii="Tahoma" w:hAnsi="Tahoma"/>
      <w:sz w:val="24"/>
    </w:rPr>
  </w:style>
  <w:style w:type="paragraph" w:customStyle="1" w:styleId="237">
    <w:name w:val="表格内文字"/>
    <w:basedOn w:val="30"/>
    <w:qFormat/>
    <w:uiPriority w:val="0"/>
    <w:pPr>
      <w:adjustRightInd w:val="0"/>
    </w:pPr>
    <w:rPr>
      <w:color w:val="000000"/>
      <w:lang w:val="en-GB"/>
    </w:rPr>
  </w:style>
  <w:style w:type="paragraph" w:customStyle="1" w:styleId="238">
    <w:name w:val="图例"/>
    <w:basedOn w:val="1"/>
    <w:qFormat/>
    <w:uiPriority w:val="0"/>
    <w:pPr>
      <w:spacing w:before="120" w:after="120" w:line="360" w:lineRule="auto"/>
      <w:jc w:val="center"/>
    </w:pPr>
    <w:rPr>
      <w:rFonts w:eastAsia="仿宋_GB2312"/>
      <w:b/>
      <w:sz w:val="24"/>
    </w:rPr>
  </w:style>
  <w:style w:type="paragraph" w:customStyle="1" w:styleId="239">
    <w:name w:val="文本"/>
    <w:basedOn w:val="1"/>
    <w:qFormat/>
    <w:uiPriority w:val="0"/>
    <w:pPr>
      <w:spacing w:beforeLines="50" w:line="360" w:lineRule="auto"/>
      <w:ind w:firstLine="200" w:firstLineChars="200"/>
    </w:pPr>
    <w:rPr>
      <w:rFonts w:ascii="方正仿宋_GBK" w:hAnsi="方正仿宋_GBK" w:eastAsia="方正仿宋_GBK"/>
      <w:bCs/>
      <w:szCs w:val="28"/>
    </w:rPr>
  </w:style>
  <w:style w:type="paragraph" w:customStyle="1" w:styleId="240">
    <w:name w:val="1.正文"/>
    <w:basedOn w:val="1"/>
    <w:qFormat/>
    <w:uiPriority w:val="0"/>
    <w:pPr>
      <w:spacing w:line="360" w:lineRule="auto"/>
      <w:ind w:left="540" w:leftChars="225" w:firstLine="540" w:firstLineChars="225"/>
    </w:pPr>
    <w:rPr>
      <w:sz w:val="24"/>
    </w:rPr>
  </w:style>
  <w:style w:type="paragraph" w:customStyle="1" w:styleId="241">
    <w:name w:val="样式1xz"/>
    <w:basedOn w:val="1"/>
    <w:qFormat/>
    <w:uiPriority w:val="0"/>
    <w:pPr>
      <w:tabs>
        <w:tab w:val="left" w:pos="1050"/>
        <w:tab w:val="right" w:leader="dot" w:pos="8296"/>
      </w:tabs>
    </w:pPr>
    <w:rPr>
      <w:caps/>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3832</Words>
  <Characters>21843</Characters>
  <Lines>182</Lines>
  <Paragraphs>51</Paragraphs>
  <TotalTime>229</TotalTime>
  <ScaleCrop>false</ScaleCrop>
  <LinksUpToDate>false</LinksUpToDate>
  <CharactersWithSpaces>25624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2023-04-15T01:15:00Z</dcterms:created>
  <dc:creator>acer 430 b10</dc:creator>
  <cp:lastModifiedBy>周卒</cp:lastModifiedBy>
  <cp:lastPrinted>2024-09-02T01:05:00Z</cp:lastPrinted>
  <dcterms:modified xsi:type="dcterms:W3CDTF">2024-09-14T03:09:45Z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AA7B647835D7440D86AA82725EF40ABA_13</vt:lpwstr>
  </property>
</Properties>
</file>