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CB6B">
      <w:pPr>
        <w:adjustRightInd w:val="0"/>
        <w:snapToGrid w:val="0"/>
        <w:spacing w:line="440" w:lineRule="exact"/>
        <w:jc w:val="center"/>
        <w:rPr>
          <w:rFonts w:eastAsia="方正小标宋简体" w:cs="方正仿宋简体"/>
          <w:color w:val="000000"/>
          <w:sz w:val="32"/>
          <w:szCs w:val="32"/>
        </w:rPr>
      </w:pPr>
      <w:r>
        <w:rPr>
          <w:rFonts w:hint="eastAsia" w:eastAsia="方正小标宋简体" w:cs="方正仿宋简体"/>
          <w:color w:val="000000"/>
          <w:sz w:val="32"/>
          <w:szCs w:val="32"/>
          <w:lang w:val="en-US" w:eastAsia="zh-CN"/>
        </w:rPr>
        <w:t>海口市民用散煤</w:t>
      </w:r>
      <w:r>
        <w:rPr>
          <w:rFonts w:hint="eastAsia" w:eastAsia="方正小标宋简体" w:cs="方正仿宋简体"/>
          <w:color w:val="000000"/>
          <w:sz w:val="32"/>
          <w:szCs w:val="32"/>
        </w:rPr>
        <w:t>产品质量监督抽查实施细则</w:t>
      </w:r>
    </w:p>
    <w:p w14:paraId="5EBDA3C0">
      <w:pPr>
        <w:spacing w:line="440" w:lineRule="exact"/>
        <w:jc w:val="center"/>
        <w:rPr>
          <w:rFonts w:eastAsia="方正小标宋简体" w:cs="方正仿宋简体"/>
          <w:color w:val="000000"/>
          <w:sz w:val="32"/>
          <w:szCs w:val="32"/>
        </w:rPr>
      </w:pPr>
      <w:r>
        <w:rPr>
          <w:rFonts w:hint="eastAsia" w:eastAsia="方正小标宋简体" w:cs="方正仿宋简体"/>
          <w:color w:val="000000"/>
          <w:sz w:val="32"/>
          <w:szCs w:val="32"/>
        </w:rPr>
        <w:t>（202</w:t>
      </w:r>
      <w:r>
        <w:rPr>
          <w:rFonts w:eastAsia="方正小标宋简体" w:cs="方正仿宋简体"/>
          <w:color w:val="000000"/>
          <w:sz w:val="32"/>
          <w:szCs w:val="32"/>
        </w:rPr>
        <w:t>4</w:t>
      </w:r>
      <w:r>
        <w:rPr>
          <w:rFonts w:hint="eastAsia" w:eastAsia="方正小标宋简体" w:cs="方正仿宋简体"/>
          <w:color w:val="000000"/>
          <w:sz w:val="32"/>
          <w:szCs w:val="32"/>
        </w:rPr>
        <w:t>年版）</w:t>
      </w:r>
    </w:p>
    <w:p w14:paraId="042E2C64">
      <w:pPr>
        <w:adjustRightInd w:val="0"/>
        <w:snapToGrid w:val="0"/>
        <w:spacing w:line="594" w:lineRule="exact"/>
        <w:jc w:val="center"/>
        <w:rPr>
          <w:rFonts w:eastAsia="方正小标宋简体" w:cs="方正仿宋简体"/>
          <w:color w:val="000000"/>
          <w:sz w:val="32"/>
          <w:szCs w:val="32"/>
        </w:rPr>
      </w:pPr>
    </w:p>
    <w:p w14:paraId="124E75EA">
      <w:pPr>
        <w:snapToGrid w:val="0"/>
        <w:spacing w:line="440" w:lineRule="exact"/>
        <w:rPr>
          <w:rFonts w:eastAsia="黑体"/>
          <w:szCs w:val="21"/>
        </w:rPr>
      </w:pPr>
      <w:r>
        <w:rPr>
          <w:rFonts w:hint="eastAsia" w:eastAsia="黑体"/>
          <w:color w:val="000000"/>
          <w:szCs w:val="21"/>
        </w:rPr>
        <w:t>1 抽样方法</w:t>
      </w:r>
    </w:p>
    <w:p w14:paraId="47D0BD00">
      <w:pPr>
        <w:snapToGrid w:val="0"/>
        <w:spacing w:line="440" w:lineRule="exact"/>
        <w:ind w:firstLine="420" w:firstLineChars="200"/>
        <w:rPr>
          <w:color w:val="000000"/>
          <w:szCs w:val="21"/>
        </w:rPr>
      </w:pPr>
      <w:r>
        <w:rPr>
          <w:rFonts w:hint="eastAsia"/>
          <w:color w:val="000000"/>
          <w:szCs w:val="21"/>
        </w:rPr>
        <w:t>以随机抽样的方式在被抽样生产者、销售者的待销产品中抽取。</w:t>
      </w:r>
    </w:p>
    <w:p w14:paraId="2B2A8D43">
      <w:pPr>
        <w:snapToGrid w:val="0"/>
        <w:spacing w:line="440" w:lineRule="exact"/>
        <w:ind w:firstLine="420" w:firstLineChars="200"/>
        <w:rPr>
          <w:color w:val="000000"/>
          <w:szCs w:val="21"/>
        </w:rPr>
      </w:pPr>
      <w:r>
        <w:rPr>
          <w:rFonts w:hint="eastAsia"/>
          <w:color w:val="000000"/>
          <w:szCs w:val="21"/>
        </w:rPr>
        <w:t>随机数一般可使用随机数表等方法产生。</w:t>
      </w:r>
    </w:p>
    <w:p w14:paraId="39399422">
      <w:pPr>
        <w:snapToGrid w:val="0"/>
        <w:spacing w:line="440" w:lineRule="exact"/>
        <w:ind w:firstLine="420" w:firstLineChars="200"/>
        <w:rPr>
          <w:color w:val="000000"/>
          <w:szCs w:val="21"/>
        </w:rPr>
      </w:pPr>
      <w:r>
        <w:rPr>
          <w:rFonts w:hint="eastAsia"/>
          <w:szCs w:val="21"/>
        </w:rPr>
        <w:t>煤样可在移动煤流或火车、汽车载煤中采取，一般不直接在煤堆和轮船载煤中采取，而应在堆（装）煤和卸煤过程中、从转运煤流或小型转运工具如汽车载煤中采取。在特殊情况下，可从煤堆上分层采取，也可从高度小于2米的煤堆上直接采取，煤样数量按GB/T 475-2008规定采取。</w:t>
      </w:r>
      <w:r>
        <w:rPr>
          <w:rFonts w:hint="eastAsia"/>
          <w:color w:val="000000"/>
          <w:szCs w:val="21"/>
        </w:rPr>
        <w:t>当采样基数小于和等于1000吨时，采取一个总样；大于1000吨时，可采取一个或多个总样。</w:t>
      </w:r>
    </w:p>
    <w:p w14:paraId="768388AA">
      <w:pPr>
        <w:snapToGrid w:val="0"/>
        <w:spacing w:line="440" w:lineRule="exact"/>
        <w:ind w:firstLine="420" w:firstLineChars="200"/>
        <w:rPr>
          <w:szCs w:val="21"/>
        </w:rPr>
      </w:pPr>
      <w:r>
        <w:rPr>
          <w:rFonts w:hint="eastAsia"/>
          <w:szCs w:val="21"/>
        </w:rPr>
        <w:t>抽取数量应满足GB/T 475-2008中总样的最小质量要求。每批次产品抽取样品2份，其中1份作为检验样品，1份作为备用样品。</w:t>
      </w:r>
    </w:p>
    <w:p w14:paraId="42A45E28">
      <w:pPr>
        <w:snapToGrid w:val="0"/>
        <w:spacing w:line="440" w:lineRule="exact"/>
        <w:ind w:firstLine="420" w:firstLineChars="200"/>
        <w:rPr>
          <w:szCs w:val="21"/>
        </w:rPr>
      </w:pPr>
      <w:r>
        <w:rPr>
          <w:rFonts w:hint="eastAsia"/>
          <w:szCs w:val="21"/>
        </w:rPr>
        <w:t>煤样制备可按GB/T 474-2008的规定进行。煤样可在采样后就地制成粒度为13mm的实验室用煤样，每份样品重量</w:t>
      </w:r>
      <w:r>
        <w:rPr>
          <w:rFonts w:hint="eastAsia"/>
          <w:szCs w:val="21"/>
          <w:lang w:eastAsia="zh-CN"/>
        </w:rPr>
        <w:t>；</w:t>
      </w:r>
      <w:r>
        <w:rPr>
          <w:rFonts w:hint="eastAsia"/>
          <w:szCs w:val="21"/>
        </w:rPr>
        <w:t>共用煤样应不少于15kg。样品带回抽样单位后，共用煤样需进一步制成分析用煤样。</w:t>
      </w:r>
    </w:p>
    <w:p w14:paraId="60A74990">
      <w:pPr>
        <w:adjustRightInd w:val="0"/>
        <w:snapToGrid w:val="0"/>
        <w:spacing w:line="440" w:lineRule="exact"/>
        <w:outlineLvl w:val="1"/>
        <w:rPr>
          <w:rFonts w:eastAsia="黑体"/>
          <w:szCs w:val="21"/>
        </w:rPr>
      </w:pPr>
      <w:r>
        <w:rPr>
          <w:rFonts w:hint="eastAsia" w:eastAsia="黑体"/>
          <w:szCs w:val="21"/>
        </w:rPr>
        <w:t>2 检验依据</w:t>
      </w:r>
    </w:p>
    <w:p w14:paraId="3ED1BB46">
      <w:pPr>
        <w:snapToGrid w:val="0"/>
        <w:spacing w:line="440" w:lineRule="exact"/>
        <w:jc w:val="center"/>
        <w:rPr>
          <w:szCs w:val="21"/>
        </w:rPr>
      </w:pPr>
      <w:r>
        <w:rPr>
          <w:rFonts w:hint="eastAsia"/>
          <w:szCs w:val="21"/>
        </w:rPr>
        <w:t>表1 民用散煤</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060"/>
        <w:gridCol w:w="2627"/>
        <w:gridCol w:w="2640"/>
      </w:tblGrid>
      <w:tr w14:paraId="22D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462" w:type="pct"/>
            <w:vAlign w:val="center"/>
          </w:tcPr>
          <w:p w14:paraId="14D816CA">
            <w:pPr>
              <w:adjustRightInd w:val="0"/>
              <w:snapToGrid w:val="0"/>
              <w:spacing w:line="440" w:lineRule="exact"/>
              <w:jc w:val="center"/>
              <w:rPr>
                <w:rFonts w:cs="仿宋"/>
                <w:szCs w:val="21"/>
              </w:rPr>
            </w:pPr>
            <w:r>
              <w:rPr>
                <w:rFonts w:hint="eastAsia" w:cs="仿宋"/>
                <w:szCs w:val="21"/>
              </w:rPr>
              <w:t>序号</w:t>
            </w:r>
          </w:p>
        </w:tc>
        <w:tc>
          <w:tcPr>
            <w:tcW w:w="1667" w:type="pct"/>
            <w:vAlign w:val="center"/>
          </w:tcPr>
          <w:p w14:paraId="7DE81E87">
            <w:pPr>
              <w:adjustRightInd w:val="0"/>
              <w:snapToGrid w:val="0"/>
              <w:spacing w:line="440" w:lineRule="exact"/>
              <w:jc w:val="center"/>
              <w:rPr>
                <w:rFonts w:cs="仿宋"/>
                <w:szCs w:val="21"/>
              </w:rPr>
            </w:pPr>
            <w:r>
              <w:rPr>
                <w:rFonts w:hint="eastAsia" w:cs="仿宋"/>
                <w:szCs w:val="21"/>
              </w:rPr>
              <w:t>检验项目</w:t>
            </w:r>
          </w:p>
        </w:tc>
        <w:tc>
          <w:tcPr>
            <w:tcW w:w="1431" w:type="pct"/>
            <w:vAlign w:val="center"/>
          </w:tcPr>
          <w:p w14:paraId="4AE724AD">
            <w:pPr>
              <w:adjustRightInd w:val="0"/>
              <w:snapToGrid w:val="0"/>
              <w:spacing w:line="440" w:lineRule="exact"/>
              <w:jc w:val="center"/>
              <w:rPr>
                <w:rFonts w:cs="仿宋"/>
                <w:szCs w:val="21"/>
              </w:rPr>
            </w:pPr>
            <w:r>
              <w:rPr>
                <w:rFonts w:hint="eastAsia" w:cs="仿宋"/>
                <w:szCs w:val="21"/>
              </w:rPr>
              <w:t>检验依据</w:t>
            </w:r>
          </w:p>
        </w:tc>
        <w:tc>
          <w:tcPr>
            <w:tcW w:w="1438" w:type="pct"/>
            <w:vAlign w:val="center"/>
          </w:tcPr>
          <w:p w14:paraId="0E05230E">
            <w:pPr>
              <w:adjustRightInd w:val="0"/>
              <w:snapToGrid w:val="0"/>
              <w:spacing w:line="440" w:lineRule="exact"/>
              <w:jc w:val="center"/>
              <w:rPr>
                <w:rFonts w:cs="仿宋"/>
                <w:szCs w:val="21"/>
              </w:rPr>
            </w:pPr>
            <w:r>
              <w:rPr>
                <w:rFonts w:hint="eastAsia" w:cs="仿宋"/>
                <w:szCs w:val="21"/>
              </w:rPr>
              <w:t>检验方法</w:t>
            </w:r>
          </w:p>
        </w:tc>
      </w:tr>
      <w:tr w14:paraId="3408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pct"/>
            <w:vAlign w:val="center"/>
          </w:tcPr>
          <w:p w14:paraId="70228280">
            <w:pPr>
              <w:adjustRightInd w:val="0"/>
              <w:snapToGrid w:val="0"/>
              <w:jc w:val="center"/>
              <w:rPr>
                <w:rFonts w:cs="仿宋"/>
                <w:szCs w:val="21"/>
              </w:rPr>
            </w:pPr>
            <w:r>
              <w:rPr>
                <w:rFonts w:hint="eastAsia" w:cs="仿宋"/>
                <w:szCs w:val="21"/>
              </w:rPr>
              <w:t>1</w:t>
            </w:r>
          </w:p>
        </w:tc>
        <w:tc>
          <w:tcPr>
            <w:tcW w:w="1667" w:type="pct"/>
            <w:vAlign w:val="center"/>
          </w:tcPr>
          <w:p w14:paraId="43FFD4D7">
            <w:pPr>
              <w:adjustRightInd w:val="0"/>
              <w:snapToGrid w:val="0"/>
              <w:jc w:val="center"/>
              <w:rPr>
                <w:szCs w:val="21"/>
              </w:rPr>
            </w:pPr>
            <w:r>
              <w:rPr>
                <w:rFonts w:hint="eastAsia"/>
                <w:szCs w:val="21"/>
              </w:rPr>
              <w:t>挥发分</w:t>
            </w:r>
          </w:p>
        </w:tc>
        <w:tc>
          <w:tcPr>
            <w:tcW w:w="1431" w:type="pct"/>
            <w:vAlign w:val="center"/>
          </w:tcPr>
          <w:p w14:paraId="038BA51B">
            <w:pPr>
              <w:adjustRightInd w:val="0"/>
              <w:snapToGrid w:val="0"/>
              <w:jc w:val="center"/>
              <w:rPr>
                <w:szCs w:val="21"/>
              </w:rPr>
            </w:pPr>
            <w:r>
              <w:rPr>
                <w:rFonts w:hint="eastAsia"/>
                <w:szCs w:val="21"/>
              </w:rPr>
              <w:t xml:space="preserve">GB 34169-2017 </w:t>
            </w:r>
          </w:p>
        </w:tc>
        <w:tc>
          <w:tcPr>
            <w:tcW w:w="1438" w:type="pct"/>
            <w:vAlign w:val="center"/>
          </w:tcPr>
          <w:p w14:paraId="38C130AF">
            <w:pPr>
              <w:adjustRightInd w:val="0"/>
              <w:snapToGrid w:val="0"/>
              <w:jc w:val="center"/>
              <w:rPr>
                <w:szCs w:val="21"/>
              </w:rPr>
            </w:pPr>
            <w:r>
              <w:rPr>
                <w:rFonts w:hint="eastAsia"/>
                <w:szCs w:val="21"/>
              </w:rPr>
              <w:t>G</w:t>
            </w:r>
            <w:r>
              <w:rPr>
                <w:szCs w:val="21"/>
              </w:rPr>
              <w:t>B/T 212-2008</w:t>
            </w:r>
          </w:p>
        </w:tc>
      </w:tr>
      <w:tr w14:paraId="3B8E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pct"/>
            <w:vAlign w:val="center"/>
          </w:tcPr>
          <w:p w14:paraId="1AB9F9F9">
            <w:pPr>
              <w:adjustRightInd w:val="0"/>
              <w:snapToGrid w:val="0"/>
              <w:jc w:val="center"/>
              <w:rPr>
                <w:rFonts w:cs="仿宋"/>
                <w:szCs w:val="21"/>
              </w:rPr>
            </w:pPr>
            <w:r>
              <w:rPr>
                <w:rFonts w:hint="eastAsia" w:cs="仿宋"/>
                <w:szCs w:val="21"/>
              </w:rPr>
              <w:t>2</w:t>
            </w:r>
          </w:p>
        </w:tc>
        <w:tc>
          <w:tcPr>
            <w:tcW w:w="1667" w:type="pct"/>
            <w:vAlign w:val="center"/>
          </w:tcPr>
          <w:p w14:paraId="2BD94652">
            <w:pPr>
              <w:adjustRightInd w:val="0"/>
              <w:snapToGrid w:val="0"/>
              <w:jc w:val="center"/>
              <w:rPr>
                <w:szCs w:val="21"/>
              </w:rPr>
            </w:pPr>
            <w:r>
              <w:rPr>
                <w:rFonts w:hint="eastAsia"/>
                <w:szCs w:val="21"/>
              </w:rPr>
              <w:t>全硫</w:t>
            </w:r>
          </w:p>
        </w:tc>
        <w:tc>
          <w:tcPr>
            <w:tcW w:w="1431" w:type="pct"/>
            <w:vAlign w:val="center"/>
          </w:tcPr>
          <w:p w14:paraId="3B7634C5">
            <w:pPr>
              <w:adjustRightInd w:val="0"/>
              <w:snapToGrid w:val="0"/>
              <w:jc w:val="center"/>
              <w:rPr>
                <w:szCs w:val="21"/>
              </w:rPr>
            </w:pPr>
            <w:r>
              <w:rPr>
                <w:rFonts w:hint="eastAsia"/>
                <w:szCs w:val="21"/>
              </w:rPr>
              <w:t xml:space="preserve">GB 34169-2017 </w:t>
            </w:r>
          </w:p>
        </w:tc>
        <w:tc>
          <w:tcPr>
            <w:tcW w:w="1438" w:type="pct"/>
            <w:vAlign w:val="center"/>
          </w:tcPr>
          <w:p w14:paraId="1647F859">
            <w:pPr>
              <w:adjustRightInd w:val="0"/>
              <w:snapToGrid w:val="0"/>
              <w:jc w:val="center"/>
              <w:rPr>
                <w:szCs w:val="21"/>
              </w:rPr>
            </w:pPr>
            <w:r>
              <w:rPr>
                <w:rFonts w:hint="eastAsia"/>
                <w:szCs w:val="21"/>
              </w:rPr>
              <w:t>G</w:t>
            </w:r>
            <w:r>
              <w:rPr>
                <w:szCs w:val="21"/>
              </w:rPr>
              <w:t>B/T 214-2007</w:t>
            </w:r>
          </w:p>
        </w:tc>
      </w:tr>
      <w:tr w14:paraId="6CB6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pct"/>
            <w:vAlign w:val="center"/>
          </w:tcPr>
          <w:p w14:paraId="1E228B94">
            <w:pPr>
              <w:adjustRightInd w:val="0"/>
              <w:snapToGrid w:val="0"/>
              <w:jc w:val="center"/>
              <w:rPr>
                <w:rFonts w:cs="仿宋"/>
                <w:szCs w:val="21"/>
              </w:rPr>
            </w:pPr>
            <w:r>
              <w:rPr>
                <w:rFonts w:hint="eastAsia" w:cs="仿宋"/>
                <w:szCs w:val="21"/>
              </w:rPr>
              <w:t>3</w:t>
            </w:r>
          </w:p>
        </w:tc>
        <w:tc>
          <w:tcPr>
            <w:tcW w:w="1667" w:type="pct"/>
            <w:vAlign w:val="center"/>
          </w:tcPr>
          <w:p w14:paraId="772FBA9A">
            <w:pPr>
              <w:adjustRightInd w:val="0"/>
              <w:snapToGrid w:val="0"/>
              <w:jc w:val="center"/>
              <w:rPr>
                <w:szCs w:val="21"/>
              </w:rPr>
            </w:pPr>
            <w:r>
              <w:rPr>
                <w:rFonts w:hint="eastAsia"/>
                <w:szCs w:val="21"/>
              </w:rPr>
              <w:t>灰分</w:t>
            </w:r>
          </w:p>
        </w:tc>
        <w:tc>
          <w:tcPr>
            <w:tcW w:w="1431" w:type="pct"/>
            <w:vAlign w:val="center"/>
          </w:tcPr>
          <w:p w14:paraId="72D4F7AB">
            <w:pPr>
              <w:adjustRightInd w:val="0"/>
              <w:snapToGrid w:val="0"/>
              <w:jc w:val="center"/>
              <w:rPr>
                <w:szCs w:val="21"/>
              </w:rPr>
            </w:pPr>
            <w:r>
              <w:rPr>
                <w:rFonts w:hint="eastAsia"/>
                <w:szCs w:val="21"/>
              </w:rPr>
              <w:t xml:space="preserve">GB 34169-2017 </w:t>
            </w:r>
          </w:p>
        </w:tc>
        <w:tc>
          <w:tcPr>
            <w:tcW w:w="1438" w:type="pct"/>
            <w:vAlign w:val="center"/>
          </w:tcPr>
          <w:p w14:paraId="54AFD0E8">
            <w:pPr>
              <w:adjustRightInd w:val="0"/>
              <w:snapToGrid w:val="0"/>
              <w:jc w:val="center"/>
              <w:rPr>
                <w:szCs w:val="21"/>
              </w:rPr>
            </w:pPr>
            <w:r>
              <w:rPr>
                <w:rFonts w:hint="eastAsia"/>
                <w:szCs w:val="21"/>
              </w:rPr>
              <w:t>G</w:t>
            </w:r>
            <w:r>
              <w:rPr>
                <w:szCs w:val="21"/>
              </w:rPr>
              <w:t>B/T 212-2008</w:t>
            </w:r>
          </w:p>
        </w:tc>
      </w:tr>
      <w:tr w14:paraId="1369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pct"/>
            <w:shd w:val="clear" w:color="auto" w:fill="auto"/>
            <w:vAlign w:val="center"/>
          </w:tcPr>
          <w:p w14:paraId="7384DCFD">
            <w:pPr>
              <w:adjustRightInd w:val="0"/>
              <w:snapToGrid w:val="0"/>
              <w:jc w:val="center"/>
              <w:rPr>
                <w:rFonts w:hint="eastAsia" w:ascii="Times New Roman" w:hAnsi="Times New Roman" w:eastAsia="宋体" w:cs="仿宋"/>
                <w:kern w:val="2"/>
                <w:sz w:val="21"/>
                <w:szCs w:val="21"/>
                <w:lang w:val="en-US" w:eastAsia="zh-CN" w:bidi="ar-SA"/>
              </w:rPr>
            </w:pPr>
            <w:r>
              <w:rPr>
                <w:rFonts w:hint="eastAsia" w:cs="仿宋"/>
                <w:szCs w:val="21"/>
              </w:rPr>
              <w:t>4</w:t>
            </w:r>
          </w:p>
        </w:tc>
        <w:tc>
          <w:tcPr>
            <w:tcW w:w="1667" w:type="pct"/>
            <w:vAlign w:val="center"/>
          </w:tcPr>
          <w:p w14:paraId="0D2E192A">
            <w:pPr>
              <w:adjustRightInd w:val="0"/>
              <w:snapToGrid w:val="0"/>
              <w:jc w:val="center"/>
              <w:rPr>
                <w:rFonts w:hint="default" w:eastAsia="宋体"/>
                <w:szCs w:val="21"/>
                <w:lang w:val="en-US" w:eastAsia="zh-CN"/>
              </w:rPr>
            </w:pPr>
            <w:r>
              <w:rPr>
                <w:rFonts w:hint="eastAsia"/>
                <w:szCs w:val="21"/>
                <w:lang w:val="en-US" w:eastAsia="zh-CN"/>
              </w:rPr>
              <w:t>煤粉含量</w:t>
            </w:r>
            <w:bookmarkStart w:id="1" w:name="_GoBack"/>
            <w:bookmarkEnd w:id="1"/>
          </w:p>
        </w:tc>
        <w:tc>
          <w:tcPr>
            <w:tcW w:w="1431" w:type="pct"/>
            <w:vAlign w:val="center"/>
          </w:tcPr>
          <w:p w14:paraId="6972657D">
            <w:pPr>
              <w:adjustRightInd w:val="0"/>
              <w:snapToGrid w:val="0"/>
              <w:jc w:val="center"/>
              <w:rPr>
                <w:rFonts w:hint="eastAsia"/>
                <w:szCs w:val="21"/>
              </w:rPr>
            </w:pPr>
            <w:r>
              <w:rPr>
                <w:rFonts w:hint="eastAsia"/>
                <w:szCs w:val="21"/>
              </w:rPr>
              <w:t xml:space="preserve">GB 34169-2017 </w:t>
            </w:r>
          </w:p>
        </w:tc>
        <w:tc>
          <w:tcPr>
            <w:tcW w:w="1438" w:type="pct"/>
            <w:vAlign w:val="center"/>
          </w:tcPr>
          <w:p w14:paraId="76670AF9">
            <w:pPr>
              <w:adjustRightInd w:val="0"/>
              <w:snapToGrid w:val="0"/>
              <w:jc w:val="center"/>
              <w:rPr>
                <w:rFonts w:hint="default" w:eastAsia="宋体"/>
                <w:szCs w:val="21"/>
                <w:lang w:val="en-US" w:eastAsia="zh-CN"/>
              </w:rPr>
            </w:pPr>
            <w:r>
              <w:rPr>
                <w:rFonts w:hint="eastAsia"/>
                <w:szCs w:val="21"/>
                <w:lang w:val="en-US" w:eastAsia="zh-CN"/>
              </w:rPr>
              <w:t>GB/T 477-2008</w:t>
            </w:r>
          </w:p>
        </w:tc>
      </w:tr>
      <w:tr w14:paraId="3F48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pct"/>
            <w:shd w:val="clear" w:color="auto" w:fill="auto"/>
            <w:vAlign w:val="center"/>
          </w:tcPr>
          <w:p w14:paraId="5AFFA1C1">
            <w:pPr>
              <w:adjustRightInd w:val="0"/>
              <w:snapToGrid w:val="0"/>
              <w:jc w:val="center"/>
              <w:rPr>
                <w:rFonts w:ascii="Times New Roman" w:hAnsi="Times New Roman" w:eastAsia="宋体" w:cs="仿宋"/>
                <w:kern w:val="2"/>
                <w:sz w:val="21"/>
                <w:szCs w:val="21"/>
                <w:lang w:val="en-US" w:eastAsia="zh-CN" w:bidi="ar-SA"/>
              </w:rPr>
            </w:pPr>
            <w:r>
              <w:rPr>
                <w:rFonts w:hint="eastAsia" w:cs="仿宋"/>
                <w:szCs w:val="21"/>
              </w:rPr>
              <w:t>5</w:t>
            </w:r>
          </w:p>
        </w:tc>
        <w:tc>
          <w:tcPr>
            <w:tcW w:w="1667" w:type="pct"/>
            <w:vAlign w:val="center"/>
          </w:tcPr>
          <w:p w14:paraId="7D1DA0A4">
            <w:pPr>
              <w:adjustRightInd w:val="0"/>
              <w:snapToGrid w:val="0"/>
              <w:jc w:val="center"/>
              <w:rPr>
                <w:szCs w:val="21"/>
              </w:rPr>
            </w:pPr>
            <w:r>
              <w:rPr>
                <w:rFonts w:hint="eastAsia"/>
                <w:szCs w:val="21"/>
              </w:rPr>
              <w:t>磷含量</w:t>
            </w:r>
          </w:p>
        </w:tc>
        <w:tc>
          <w:tcPr>
            <w:tcW w:w="1431" w:type="pct"/>
            <w:vAlign w:val="center"/>
          </w:tcPr>
          <w:p w14:paraId="11F4AA0E">
            <w:pPr>
              <w:adjustRightInd w:val="0"/>
              <w:snapToGrid w:val="0"/>
              <w:jc w:val="center"/>
              <w:rPr>
                <w:szCs w:val="21"/>
              </w:rPr>
            </w:pPr>
            <w:r>
              <w:rPr>
                <w:rFonts w:hint="eastAsia"/>
                <w:szCs w:val="21"/>
              </w:rPr>
              <w:t xml:space="preserve">GB 34169-2017 </w:t>
            </w:r>
          </w:p>
        </w:tc>
        <w:tc>
          <w:tcPr>
            <w:tcW w:w="1438" w:type="pct"/>
            <w:vAlign w:val="center"/>
          </w:tcPr>
          <w:p w14:paraId="7C07E6E3">
            <w:pPr>
              <w:adjustRightInd w:val="0"/>
              <w:snapToGrid w:val="0"/>
              <w:jc w:val="center"/>
              <w:rPr>
                <w:szCs w:val="21"/>
              </w:rPr>
            </w:pPr>
            <w:r>
              <w:rPr>
                <w:rFonts w:hint="eastAsia"/>
                <w:szCs w:val="21"/>
              </w:rPr>
              <w:t>G</w:t>
            </w:r>
            <w:r>
              <w:rPr>
                <w:szCs w:val="21"/>
              </w:rPr>
              <w:t>B/T 216-2003</w:t>
            </w:r>
          </w:p>
        </w:tc>
      </w:tr>
      <w:tr w14:paraId="59F4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pct"/>
            <w:shd w:val="clear" w:color="auto" w:fill="auto"/>
            <w:vAlign w:val="center"/>
          </w:tcPr>
          <w:p w14:paraId="32487EF0">
            <w:pPr>
              <w:adjustRightInd w:val="0"/>
              <w:snapToGrid w:val="0"/>
              <w:jc w:val="center"/>
              <w:rPr>
                <w:rFonts w:ascii="Times New Roman" w:hAnsi="Times New Roman" w:eastAsia="宋体" w:cs="仿宋"/>
                <w:kern w:val="2"/>
                <w:sz w:val="21"/>
                <w:szCs w:val="21"/>
                <w:lang w:val="en-US" w:eastAsia="zh-CN" w:bidi="ar-SA"/>
              </w:rPr>
            </w:pPr>
            <w:r>
              <w:rPr>
                <w:rFonts w:hint="eastAsia" w:cs="仿宋"/>
                <w:szCs w:val="21"/>
              </w:rPr>
              <w:t>6</w:t>
            </w:r>
          </w:p>
        </w:tc>
        <w:tc>
          <w:tcPr>
            <w:tcW w:w="1667" w:type="pct"/>
            <w:vAlign w:val="center"/>
          </w:tcPr>
          <w:p w14:paraId="33368D97">
            <w:pPr>
              <w:adjustRightInd w:val="0"/>
              <w:snapToGrid w:val="0"/>
              <w:jc w:val="center"/>
              <w:rPr>
                <w:szCs w:val="21"/>
              </w:rPr>
            </w:pPr>
            <w:r>
              <w:rPr>
                <w:rFonts w:hint="eastAsia"/>
                <w:szCs w:val="21"/>
              </w:rPr>
              <w:t>氯含量</w:t>
            </w:r>
          </w:p>
        </w:tc>
        <w:tc>
          <w:tcPr>
            <w:tcW w:w="1431" w:type="pct"/>
            <w:vAlign w:val="center"/>
          </w:tcPr>
          <w:p w14:paraId="2598A1A3">
            <w:pPr>
              <w:adjustRightInd w:val="0"/>
              <w:snapToGrid w:val="0"/>
              <w:jc w:val="center"/>
              <w:rPr>
                <w:szCs w:val="21"/>
              </w:rPr>
            </w:pPr>
            <w:r>
              <w:rPr>
                <w:rFonts w:hint="eastAsia"/>
                <w:szCs w:val="21"/>
              </w:rPr>
              <w:t xml:space="preserve">GB 34169-2017 </w:t>
            </w:r>
          </w:p>
        </w:tc>
        <w:tc>
          <w:tcPr>
            <w:tcW w:w="1438" w:type="pct"/>
            <w:vAlign w:val="center"/>
          </w:tcPr>
          <w:p w14:paraId="4016066A">
            <w:pPr>
              <w:adjustRightInd w:val="0"/>
              <w:snapToGrid w:val="0"/>
              <w:jc w:val="center"/>
              <w:rPr>
                <w:szCs w:val="21"/>
              </w:rPr>
            </w:pPr>
            <w:r>
              <w:rPr>
                <w:szCs w:val="21"/>
              </w:rPr>
              <w:t xml:space="preserve"> GB/T 3558-2014</w:t>
            </w:r>
          </w:p>
        </w:tc>
      </w:tr>
      <w:tr w14:paraId="772C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pct"/>
            <w:shd w:val="clear" w:color="auto" w:fill="auto"/>
            <w:vAlign w:val="center"/>
          </w:tcPr>
          <w:p w14:paraId="37B1D45B">
            <w:pPr>
              <w:adjustRightInd w:val="0"/>
              <w:snapToGrid w:val="0"/>
              <w:jc w:val="center"/>
              <w:rPr>
                <w:rFonts w:ascii="Times New Roman" w:hAnsi="Times New Roman" w:eastAsia="宋体" w:cs="仿宋"/>
                <w:kern w:val="2"/>
                <w:sz w:val="21"/>
                <w:szCs w:val="21"/>
                <w:lang w:val="en-US" w:eastAsia="zh-CN" w:bidi="ar-SA"/>
              </w:rPr>
            </w:pPr>
            <w:r>
              <w:rPr>
                <w:rFonts w:hint="eastAsia" w:cs="仿宋"/>
                <w:szCs w:val="21"/>
              </w:rPr>
              <w:t>7</w:t>
            </w:r>
          </w:p>
        </w:tc>
        <w:tc>
          <w:tcPr>
            <w:tcW w:w="1667" w:type="pct"/>
            <w:vAlign w:val="center"/>
          </w:tcPr>
          <w:p w14:paraId="5C8B0B41">
            <w:pPr>
              <w:adjustRightInd w:val="0"/>
              <w:snapToGrid w:val="0"/>
              <w:jc w:val="center"/>
              <w:rPr>
                <w:szCs w:val="21"/>
              </w:rPr>
            </w:pPr>
            <w:r>
              <w:rPr>
                <w:rFonts w:hint="eastAsia"/>
                <w:szCs w:val="21"/>
              </w:rPr>
              <w:t>砷含量</w:t>
            </w:r>
          </w:p>
        </w:tc>
        <w:tc>
          <w:tcPr>
            <w:tcW w:w="1431" w:type="pct"/>
            <w:vAlign w:val="center"/>
          </w:tcPr>
          <w:p w14:paraId="2B731E1A">
            <w:pPr>
              <w:adjustRightInd w:val="0"/>
              <w:snapToGrid w:val="0"/>
              <w:jc w:val="center"/>
              <w:rPr>
                <w:szCs w:val="21"/>
              </w:rPr>
            </w:pPr>
            <w:r>
              <w:rPr>
                <w:rFonts w:hint="eastAsia"/>
                <w:szCs w:val="21"/>
              </w:rPr>
              <w:t xml:space="preserve">GB 34169-2017 </w:t>
            </w:r>
          </w:p>
        </w:tc>
        <w:tc>
          <w:tcPr>
            <w:tcW w:w="1438" w:type="pct"/>
            <w:vAlign w:val="center"/>
          </w:tcPr>
          <w:p w14:paraId="45F33CEB">
            <w:pPr>
              <w:adjustRightInd w:val="0"/>
              <w:snapToGrid w:val="0"/>
              <w:jc w:val="center"/>
              <w:rPr>
                <w:szCs w:val="21"/>
              </w:rPr>
            </w:pPr>
            <w:r>
              <w:rPr>
                <w:rFonts w:hint="eastAsia"/>
                <w:szCs w:val="21"/>
              </w:rPr>
              <w:t>G</w:t>
            </w:r>
            <w:r>
              <w:rPr>
                <w:szCs w:val="21"/>
              </w:rPr>
              <w:t>B/T 3058-2019</w:t>
            </w:r>
          </w:p>
        </w:tc>
      </w:tr>
      <w:tr w14:paraId="4B95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pct"/>
            <w:shd w:val="clear" w:color="auto" w:fill="auto"/>
            <w:vAlign w:val="center"/>
          </w:tcPr>
          <w:p w14:paraId="61E19025">
            <w:pPr>
              <w:adjustRightInd w:val="0"/>
              <w:snapToGrid w:val="0"/>
              <w:jc w:val="center"/>
              <w:rPr>
                <w:rFonts w:ascii="Times New Roman" w:hAnsi="Times New Roman" w:eastAsia="宋体" w:cs="仿宋"/>
                <w:kern w:val="2"/>
                <w:sz w:val="21"/>
                <w:szCs w:val="21"/>
                <w:lang w:val="en-US" w:eastAsia="zh-CN" w:bidi="ar-SA"/>
              </w:rPr>
            </w:pPr>
            <w:r>
              <w:rPr>
                <w:rFonts w:hint="eastAsia" w:cs="仿宋"/>
                <w:szCs w:val="21"/>
              </w:rPr>
              <w:t>8</w:t>
            </w:r>
          </w:p>
        </w:tc>
        <w:tc>
          <w:tcPr>
            <w:tcW w:w="1667" w:type="pct"/>
            <w:vAlign w:val="center"/>
          </w:tcPr>
          <w:p w14:paraId="147437EB">
            <w:pPr>
              <w:adjustRightInd w:val="0"/>
              <w:snapToGrid w:val="0"/>
              <w:jc w:val="center"/>
              <w:rPr>
                <w:szCs w:val="21"/>
              </w:rPr>
            </w:pPr>
            <w:r>
              <w:rPr>
                <w:rFonts w:hint="eastAsia"/>
                <w:szCs w:val="21"/>
              </w:rPr>
              <w:t>汞含量</w:t>
            </w:r>
          </w:p>
        </w:tc>
        <w:tc>
          <w:tcPr>
            <w:tcW w:w="1431" w:type="pct"/>
            <w:vAlign w:val="center"/>
          </w:tcPr>
          <w:p w14:paraId="4E51D2A5">
            <w:pPr>
              <w:adjustRightInd w:val="0"/>
              <w:snapToGrid w:val="0"/>
              <w:jc w:val="center"/>
              <w:rPr>
                <w:szCs w:val="21"/>
              </w:rPr>
            </w:pPr>
            <w:r>
              <w:rPr>
                <w:rFonts w:hint="eastAsia"/>
                <w:szCs w:val="21"/>
              </w:rPr>
              <w:t xml:space="preserve">GB 34169-2017 </w:t>
            </w:r>
          </w:p>
        </w:tc>
        <w:tc>
          <w:tcPr>
            <w:tcW w:w="1438" w:type="pct"/>
            <w:vAlign w:val="center"/>
          </w:tcPr>
          <w:p w14:paraId="418C7FFC">
            <w:pPr>
              <w:adjustRightInd w:val="0"/>
              <w:snapToGrid w:val="0"/>
              <w:jc w:val="center"/>
              <w:rPr>
                <w:szCs w:val="21"/>
              </w:rPr>
            </w:pPr>
            <w:r>
              <w:rPr>
                <w:rFonts w:hint="eastAsia"/>
                <w:szCs w:val="21"/>
              </w:rPr>
              <w:t>G</w:t>
            </w:r>
            <w:r>
              <w:rPr>
                <w:szCs w:val="21"/>
              </w:rPr>
              <w:t>B/T 16659-2008</w:t>
            </w:r>
          </w:p>
        </w:tc>
      </w:tr>
      <w:tr w14:paraId="4761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pct"/>
            <w:shd w:val="clear" w:color="auto" w:fill="auto"/>
            <w:vAlign w:val="center"/>
          </w:tcPr>
          <w:p w14:paraId="3D05ED31">
            <w:pPr>
              <w:adjustRightInd w:val="0"/>
              <w:snapToGrid w:val="0"/>
              <w:jc w:val="center"/>
              <w:rPr>
                <w:rFonts w:ascii="Times New Roman" w:hAnsi="Times New Roman" w:eastAsia="宋体" w:cs="仿宋"/>
                <w:kern w:val="2"/>
                <w:sz w:val="21"/>
                <w:szCs w:val="21"/>
                <w:lang w:val="en-US" w:eastAsia="zh-CN" w:bidi="ar-SA"/>
              </w:rPr>
            </w:pPr>
            <w:r>
              <w:rPr>
                <w:rFonts w:hint="eastAsia" w:cs="仿宋"/>
                <w:szCs w:val="21"/>
              </w:rPr>
              <w:t>9</w:t>
            </w:r>
          </w:p>
        </w:tc>
        <w:tc>
          <w:tcPr>
            <w:tcW w:w="1667" w:type="pct"/>
            <w:vAlign w:val="center"/>
          </w:tcPr>
          <w:p w14:paraId="3AD80E6E">
            <w:pPr>
              <w:adjustRightInd w:val="0"/>
              <w:snapToGrid w:val="0"/>
              <w:jc w:val="center"/>
              <w:rPr>
                <w:szCs w:val="21"/>
              </w:rPr>
            </w:pPr>
            <w:r>
              <w:rPr>
                <w:rFonts w:hint="eastAsia"/>
                <w:szCs w:val="21"/>
              </w:rPr>
              <w:t>氟含量</w:t>
            </w:r>
          </w:p>
        </w:tc>
        <w:tc>
          <w:tcPr>
            <w:tcW w:w="1431" w:type="pct"/>
            <w:vAlign w:val="center"/>
          </w:tcPr>
          <w:p w14:paraId="6EBB7C67">
            <w:pPr>
              <w:adjustRightInd w:val="0"/>
              <w:snapToGrid w:val="0"/>
              <w:jc w:val="center"/>
              <w:rPr>
                <w:szCs w:val="21"/>
              </w:rPr>
            </w:pPr>
            <w:r>
              <w:rPr>
                <w:rFonts w:hint="eastAsia"/>
                <w:szCs w:val="21"/>
              </w:rPr>
              <w:t xml:space="preserve">GB 34169-2017 </w:t>
            </w:r>
          </w:p>
        </w:tc>
        <w:tc>
          <w:tcPr>
            <w:tcW w:w="1438" w:type="pct"/>
            <w:vAlign w:val="center"/>
          </w:tcPr>
          <w:p w14:paraId="51915D4B">
            <w:pPr>
              <w:adjustRightInd w:val="0"/>
              <w:snapToGrid w:val="0"/>
              <w:jc w:val="center"/>
              <w:rPr>
                <w:szCs w:val="21"/>
              </w:rPr>
            </w:pPr>
            <w:r>
              <w:rPr>
                <w:szCs w:val="21"/>
              </w:rPr>
              <w:t>GB/T 4633-2014</w:t>
            </w:r>
          </w:p>
        </w:tc>
      </w:tr>
    </w:tbl>
    <w:p w14:paraId="53DEDE6F">
      <w:pPr>
        <w:adjustRightInd w:val="0"/>
        <w:snapToGrid w:val="0"/>
        <w:spacing w:line="440" w:lineRule="exact"/>
        <w:ind w:firstLine="420" w:firstLineChars="200"/>
        <w:rPr>
          <w:color w:val="000000"/>
          <w:szCs w:val="21"/>
        </w:rPr>
      </w:pPr>
      <w:bookmarkStart w:id="0" w:name="_Hlk40347690"/>
      <w:r>
        <w:rPr>
          <w:rFonts w:hint="eastAsia"/>
          <w:color w:val="000000"/>
          <w:szCs w:val="21"/>
        </w:rPr>
        <w:t>执行企业标准、团体标准、地方标准的产品，检验项目参照上述内容执行。</w:t>
      </w:r>
      <w:bookmarkEnd w:id="0"/>
    </w:p>
    <w:p w14:paraId="02DB0396">
      <w:pPr>
        <w:snapToGrid w:val="0"/>
        <w:spacing w:line="440" w:lineRule="exact"/>
        <w:ind w:firstLine="359" w:firstLineChars="171"/>
        <w:rPr>
          <w:rFonts w:eastAsia="黑体"/>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078B338B">
      <w:pPr>
        <w:adjustRightInd w:val="0"/>
        <w:snapToGrid w:val="0"/>
        <w:spacing w:line="440" w:lineRule="exact"/>
        <w:outlineLvl w:val="1"/>
        <w:rPr>
          <w:rFonts w:eastAsia="黑体"/>
          <w:szCs w:val="21"/>
        </w:rPr>
      </w:pPr>
      <w:r>
        <w:rPr>
          <w:rFonts w:hint="eastAsia" w:eastAsia="黑体"/>
          <w:szCs w:val="21"/>
        </w:rPr>
        <w:t>3 依据规则</w:t>
      </w:r>
    </w:p>
    <w:p w14:paraId="7084184C">
      <w:pPr>
        <w:adjustRightInd w:val="0"/>
        <w:snapToGrid w:val="0"/>
        <w:spacing w:line="440" w:lineRule="exact"/>
        <w:outlineLvl w:val="1"/>
        <w:rPr>
          <w:szCs w:val="21"/>
        </w:rPr>
      </w:pPr>
      <w:r>
        <w:rPr>
          <w:rFonts w:hint="eastAsia"/>
          <w:szCs w:val="21"/>
        </w:rPr>
        <w:t>3.1依据标准</w:t>
      </w:r>
    </w:p>
    <w:p w14:paraId="16F0A0A3">
      <w:pPr>
        <w:snapToGrid w:val="0"/>
        <w:spacing w:line="440" w:lineRule="exact"/>
        <w:ind w:firstLine="420" w:firstLineChars="200"/>
        <w:rPr>
          <w:rFonts w:hint="eastAsia"/>
          <w:szCs w:val="21"/>
        </w:rPr>
      </w:pPr>
      <w:r>
        <w:rPr>
          <w:rFonts w:hint="eastAsia"/>
          <w:szCs w:val="21"/>
        </w:rPr>
        <w:t>GB 34169-2017 商品煤质量 民用散煤</w:t>
      </w:r>
    </w:p>
    <w:p w14:paraId="6AD0D7BC">
      <w:pPr>
        <w:adjustRightInd w:val="0"/>
        <w:snapToGrid w:val="0"/>
        <w:spacing w:line="440" w:lineRule="exact"/>
        <w:ind w:firstLine="420" w:firstLineChars="200"/>
        <w:rPr>
          <w:rFonts w:cs="宋体"/>
          <w:szCs w:val="21"/>
        </w:rPr>
      </w:pPr>
      <w:r>
        <w:rPr>
          <w:rFonts w:hint="eastAsia" w:cs="宋体"/>
          <w:szCs w:val="21"/>
        </w:rPr>
        <w:t>现行有效的企业标准、团体标准、地方标准及产品明示质量要求</w:t>
      </w:r>
    </w:p>
    <w:p w14:paraId="4ACCB1D5">
      <w:pPr>
        <w:adjustRightInd w:val="0"/>
        <w:snapToGrid w:val="0"/>
        <w:spacing w:line="440" w:lineRule="exact"/>
        <w:outlineLvl w:val="1"/>
        <w:rPr>
          <w:szCs w:val="21"/>
        </w:rPr>
      </w:pPr>
      <w:r>
        <w:rPr>
          <w:rFonts w:hint="eastAsia"/>
          <w:szCs w:val="21"/>
        </w:rPr>
        <w:t>3.2判定原则</w:t>
      </w:r>
    </w:p>
    <w:p w14:paraId="4309583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经检验，检验项目全部合格，判定为被抽查产品所检项目未发现不合格；检验项目中任一项或一项以上不合格，判定为被抽查产品不合格。</w:t>
      </w:r>
    </w:p>
    <w:p w14:paraId="3D6CF93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若被检产品明示的质量要求高于本细则中检验项目依据的标准要求时，应按被检产品明示的质量要求判定。</w:t>
      </w:r>
    </w:p>
    <w:p w14:paraId="071FB4D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若被检产品明示的质量要求低于本细则中检验项目依据的强制性标准要求时，应按照强制性标准要求判定。</w:t>
      </w:r>
    </w:p>
    <w:p w14:paraId="33DDC3F4">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若被检产品明示的质量要求低于或包含细则中检验项目依据的推荐性标准要求时，应以被检产品明示的质量要求判定，但应在检验报告备注中进行说明。</w:t>
      </w:r>
    </w:p>
    <w:p w14:paraId="25D6BF8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rFonts w:hint="eastAsia"/>
          <w:color w:val="000000"/>
          <w:szCs w:val="21"/>
        </w:rPr>
      </w:pPr>
      <w:r>
        <w:rPr>
          <w:rFonts w:hint="eastAsia"/>
          <w:color w:val="000000"/>
          <w:szCs w:val="21"/>
        </w:rPr>
        <w:t>若被检产品明示的质量要求缺少本细则中检验项目依据的强制性标准要求时，应按照强制性标准要求判定。</w:t>
      </w:r>
    </w:p>
    <w:p w14:paraId="57F45A1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1"/>
        <w:rPr>
          <w:color w:val="000000"/>
          <w:szCs w:val="21"/>
        </w:rPr>
      </w:pPr>
      <w:r>
        <w:rPr>
          <w:rFonts w:hint="eastAsia"/>
          <w:color w:val="000000"/>
          <w:szCs w:val="21"/>
        </w:rPr>
        <w:t>若被检产品明示的质量要求缺少本细则中检验项目依据的推荐性标准要求时，该项目不参与判定，但应在检验报告备注中进行说明。</w:t>
      </w:r>
    </w:p>
    <w:sectPr>
      <w:footerReference r:id="rId3" w:type="default"/>
      <w:pgSz w:w="11906" w:h="16838"/>
      <w:pgMar w:top="1985"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Malgun Gothic Semilight"/>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BF4EC">
    <w:pPr>
      <w:pStyle w:val="5"/>
      <w:jc w:val="center"/>
    </w:pPr>
    <w:r>
      <w:fldChar w:fldCharType="begin"/>
    </w:r>
    <w:r>
      <w:instrText xml:space="preserve">PAGE   \* MERGEFORMAT</w:instrText>
    </w:r>
    <w:r>
      <w:fldChar w:fldCharType="separate"/>
    </w:r>
    <w:r>
      <w:rPr>
        <w:lang w:val="zh-CN"/>
      </w:rPr>
      <w:t>2</w:t>
    </w:r>
    <w:r>
      <w:fldChar w:fldCharType="end"/>
    </w:r>
  </w:p>
  <w:p w14:paraId="27FABD6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DM3NGM4NjM1YTg3ZTE2Y2UzNzZmMzJiN2U3ZTEifQ=="/>
  </w:docVars>
  <w:rsids>
    <w:rsidRoot w:val="00752E6A"/>
    <w:rsid w:val="00006736"/>
    <w:rsid w:val="00010E96"/>
    <w:rsid w:val="00017B35"/>
    <w:rsid w:val="00026924"/>
    <w:rsid w:val="00031D6F"/>
    <w:rsid w:val="00035343"/>
    <w:rsid w:val="00053F02"/>
    <w:rsid w:val="000625CF"/>
    <w:rsid w:val="00096E29"/>
    <w:rsid w:val="000A080C"/>
    <w:rsid w:val="000E709A"/>
    <w:rsid w:val="000F53DE"/>
    <w:rsid w:val="00101532"/>
    <w:rsid w:val="00104656"/>
    <w:rsid w:val="00104D1A"/>
    <w:rsid w:val="00120E76"/>
    <w:rsid w:val="00127815"/>
    <w:rsid w:val="001B28D7"/>
    <w:rsid w:val="001E1A20"/>
    <w:rsid w:val="001F3718"/>
    <w:rsid w:val="00203ABE"/>
    <w:rsid w:val="00257FC1"/>
    <w:rsid w:val="002D3752"/>
    <w:rsid w:val="002E040F"/>
    <w:rsid w:val="00307328"/>
    <w:rsid w:val="00326F6D"/>
    <w:rsid w:val="00340B75"/>
    <w:rsid w:val="00391C40"/>
    <w:rsid w:val="003A5D24"/>
    <w:rsid w:val="003B091C"/>
    <w:rsid w:val="003F300C"/>
    <w:rsid w:val="00414CE9"/>
    <w:rsid w:val="00420B26"/>
    <w:rsid w:val="00451273"/>
    <w:rsid w:val="00456CCD"/>
    <w:rsid w:val="00460ADB"/>
    <w:rsid w:val="004677D2"/>
    <w:rsid w:val="00480F24"/>
    <w:rsid w:val="004A0691"/>
    <w:rsid w:val="004D451C"/>
    <w:rsid w:val="004F66FC"/>
    <w:rsid w:val="005450AB"/>
    <w:rsid w:val="00561EC2"/>
    <w:rsid w:val="00567A25"/>
    <w:rsid w:val="00574E2C"/>
    <w:rsid w:val="0057510B"/>
    <w:rsid w:val="005D48BB"/>
    <w:rsid w:val="00611D73"/>
    <w:rsid w:val="006769EE"/>
    <w:rsid w:val="00716D35"/>
    <w:rsid w:val="00752E6A"/>
    <w:rsid w:val="007610BC"/>
    <w:rsid w:val="007770DD"/>
    <w:rsid w:val="007A7EA7"/>
    <w:rsid w:val="007C2EE3"/>
    <w:rsid w:val="007E48F2"/>
    <w:rsid w:val="007E5C8D"/>
    <w:rsid w:val="00805E81"/>
    <w:rsid w:val="00825ED6"/>
    <w:rsid w:val="00872DDB"/>
    <w:rsid w:val="0087518C"/>
    <w:rsid w:val="00886882"/>
    <w:rsid w:val="008952C2"/>
    <w:rsid w:val="008B6A29"/>
    <w:rsid w:val="008F2FC4"/>
    <w:rsid w:val="009053AD"/>
    <w:rsid w:val="00946D18"/>
    <w:rsid w:val="00963052"/>
    <w:rsid w:val="00964546"/>
    <w:rsid w:val="009E56A4"/>
    <w:rsid w:val="00A0706E"/>
    <w:rsid w:val="00A07A94"/>
    <w:rsid w:val="00A24789"/>
    <w:rsid w:val="00A26470"/>
    <w:rsid w:val="00A270F4"/>
    <w:rsid w:val="00A6360C"/>
    <w:rsid w:val="00A86FBC"/>
    <w:rsid w:val="00AA2CD6"/>
    <w:rsid w:val="00AD6E09"/>
    <w:rsid w:val="00B10389"/>
    <w:rsid w:val="00B14675"/>
    <w:rsid w:val="00B24CBB"/>
    <w:rsid w:val="00B3498F"/>
    <w:rsid w:val="00B37622"/>
    <w:rsid w:val="00B42B9E"/>
    <w:rsid w:val="00B90D06"/>
    <w:rsid w:val="00B9527A"/>
    <w:rsid w:val="00BA05B2"/>
    <w:rsid w:val="00BA328F"/>
    <w:rsid w:val="00BA40F9"/>
    <w:rsid w:val="00BC42DE"/>
    <w:rsid w:val="00C1406D"/>
    <w:rsid w:val="00C21BC6"/>
    <w:rsid w:val="00C23996"/>
    <w:rsid w:val="00C33C3B"/>
    <w:rsid w:val="00C477BF"/>
    <w:rsid w:val="00C66B2F"/>
    <w:rsid w:val="00C92D5D"/>
    <w:rsid w:val="00CC684E"/>
    <w:rsid w:val="00CD39E7"/>
    <w:rsid w:val="00CD4DD2"/>
    <w:rsid w:val="00D371B3"/>
    <w:rsid w:val="00D92B09"/>
    <w:rsid w:val="00DA0C0A"/>
    <w:rsid w:val="00DB1A4B"/>
    <w:rsid w:val="00DE26AC"/>
    <w:rsid w:val="00DF3932"/>
    <w:rsid w:val="00E401CD"/>
    <w:rsid w:val="00E4432F"/>
    <w:rsid w:val="00E472D2"/>
    <w:rsid w:val="00E66117"/>
    <w:rsid w:val="00E827C6"/>
    <w:rsid w:val="00E92C44"/>
    <w:rsid w:val="00EB3DC6"/>
    <w:rsid w:val="00EC7B2E"/>
    <w:rsid w:val="00F20833"/>
    <w:rsid w:val="00F30DC1"/>
    <w:rsid w:val="00F324D1"/>
    <w:rsid w:val="00F40848"/>
    <w:rsid w:val="00F93A0B"/>
    <w:rsid w:val="00FD629F"/>
    <w:rsid w:val="00FE2571"/>
    <w:rsid w:val="00FE2FFA"/>
    <w:rsid w:val="00FF2CB3"/>
    <w:rsid w:val="0156177E"/>
    <w:rsid w:val="026F49F5"/>
    <w:rsid w:val="04D01847"/>
    <w:rsid w:val="0853240B"/>
    <w:rsid w:val="096C0C06"/>
    <w:rsid w:val="09AD50A6"/>
    <w:rsid w:val="0CE63D6F"/>
    <w:rsid w:val="0D8922A9"/>
    <w:rsid w:val="0DC81C60"/>
    <w:rsid w:val="10C77AD8"/>
    <w:rsid w:val="11433FCF"/>
    <w:rsid w:val="12731E42"/>
    <w:rsid w:val="1589462E"/>
    <w:rsid w:val="16EC7E6F"/>
    <w:rsid w:val="19031638"/>
    <w:rsid w:val="1AD00627"/>
    <w:rsid w:val="1BBB0703"/>
    <w:rsid w:val="1E110D1F"/>
    <w:rsid w:val="21FC679E"/>
    <w:rsid w:val="267E427C"/>
    <w:rsid w:val="26C8226C"/>
    <w:rsid w:val="297F5466"/>
    <w:rsid w:val="29A07CA1"/>
    <w:rsid w:val="2A5266D7"/>
    <w:rsid w:val="2B2D41EB"/>
    <w:rsid w:val="2DF47C38"/>
    <w:rsid w:val="2E0B1C92"/>
    <w:rsid w:val="2F8551C6"/>
    <w:rsid w:val="313047E9"/>
    <w:rsid w:val="31D746E7"/>
    <w:rsid w:val="3213075D"/>
    <w:rsid w:val="32672EAC"/>
    <w:rsid w:val="34803BAB"/>
    <w:rsid w:val="3C5965E1"/>
    <w:rsid w:val="3E861AA1"/>
    <w:rsid w:val="3E910FD1"/>
    <w:rsid w:val="3F143DBA"/>
    <w:rsid w:val="3FA255B3"/>
    <w:rsid w:val="406F7878"/>
    <w:rsid w:val="410733E5"/>
    <w:rsid w:val="4111685C"/>
    <w:rsid w:val="428B55F1"/>
    <w:rsid w:val="43086341"/>
    <w:rsid w:val="439338E4"/>
    <w:rsid w:val="4609059D"/>
    <w:rsid w:val="47021CFC"/>
    <w:rsid w:val="472411E9"/>
    <w:rsid w:val="47931942"/>
    <w:rsid w:val="47C76D48"/>
    <w:rsid w:val="487208FE"/>
    <w:rsid w:val="4D046F69"/>
    <w:rsid w:val="4E573A0C"/>
    <w:rsid w:val="51FE56F4"/>
    <w:rsid w:val="524D112C"/>
    <w:rsid w:val="52777DA9"/>
    <w:rsid w:val="5478404C"/>
    <w:rsid w:val="549B1B69"/>
    <w:rsid w:val="54D933CD"/>
    <w:rsid w:val="5520266A"/>
    <w:rsid w:val="5560764A"/>
    <w:rsid w:val="57C52953"/>
    <w:rsid w:val="586C2392"/>
    <w:rsid w:val="5A1E7D75"/>
    <w:rsid w:val="5B2123AD"/>
    <w:rsid w:val="5CE35E19"/>
    <w:rsid w:val="5DD4749B"/>
    <w:rsid w:val="5EB95ACA"/>
    <w:rsid w:val="631B3E5A"/>
    <w:rsid w:val="640675A2"/>
    <w:rsid w:val="64A21EF5"/>
    <w:rsid w:val="64BF3152"/>
    <w:rsid w:val="65E95CF4"/>
    <w:rsid w:val="676A160C"/>
    <w:rsid w:val="67977763"/>
    <w:rsid w:val="6A1A6328"/>
    <w:rsid w:val="6C2802B0"/>
    <w:rsid w:val="6EB6008B"/>
    <w:rsid w:val="6EB81105"/>
    <w:rsid w:val="70951CEA"/>
    <w:rsid w:val="71E06205"/>
    <w:rsid w:val="73D75BEF"/>
    <w:rsid w:val="76347D92"/>
    <w:rsid w:val="79BD19C3"/>
    <w:rsid w:val="7AAB23E2"/>
    <w:rsid w:val="7C9D5D8F"/>
    <w:rsid w:val="7D2C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pPr>
      <w:jc w:val="left"/>
    </w:pPr>
  </w:style>
  <w:style w:type="paragraph" w:styleId="4">
    <w:name w:val="Balloon Text"/>
    <w:basedOn w:val="1"/>
    <w:link w:val="12"/>
    <w:autoRedefine/>
    <w:qFormat/>
    <w:uiPriority w:val="0"/>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autoRedefine/>
    <w:unhideWhenUsed/>
    <w:qFormat/>
    <w:uiPriority w:val="99"/>
    <w:rPr>
      <w:sz w:val="21"/>
      <w:szCs w:val="21"/>
    </w:rPr>
  </w:style>
  <w:style w:type="character" w:customStyle="1" w:styleId="11">
    <w:name w:val="批注文字 字符"/>
    <w:link w:val="3"/>
    <w:autoRedefine/>
    <w:qFormat/>
    <w:uiPriority w:val="0"/>
    <w:rPr>
      <w:kern w:val="2"/>
      <w:sz w:val="21"/>
      <w:szCs w:val="22"/>
    </w:rPr>
  </w:style>
  <w:style w:type="character" w:customStyle="1" w:styleId="12">
    <w:name w:val="批注框文本 字符"/>
    <w:link w:val="4"/>
    <w:autoRedefine/>
    <w:qFormat/>
    <w:uiPriority w:val="0"/>
    <w:rPr>
      <w:kern w:val="2"/>
      <w:sz w:val="18"/>
      <w:szCs w:val="18"/>
    </w:rPr>
  </w:style>
  <w:style w:type="character" w:customStyle="1" w:styleId="13">
    <w:name w:val="页脚 字符"/>
    <w:link w:val="5"/>
    <w:autoRedefine/>
    <w:qFormat/>
    <w:uiPriority w:val="99"/>
    <w:rPr>
      <w:kern w:val="2"/>
      <w:sz w:val="18"/>
      <w:szCs w:val="18"/>
    </w:rPr>
  </w:style>
  <w:style w:type="character" w:customStyle="1" w:styleId="14">
    <w:name w:val="页眉 字符"/>
    <w:link w:val="6"/>
    <w:autoRedefine/>
    <w:qFormat/>
    <w:uiPriority w:val="0"/>
    <w:rPr>
      <w:kern w:val="2"/>
      <w:sz w:val="18"/>
      <w:szCs w:val="18"/>
    </w:rPr>
  </w:style>
  <w:style w:type="character" w:customStyle="1" w:styleId="15">
    <w:name w:val="批注主题 字符"/>
    <w:link w:val="7"/>
    <w:autoRedefine/>
    <w:qFormat/>
    <w:uiPriority w:val="0"/>
    <w:rPr>
      <w:b/>
      <w:bCs/>
      <w:kern w:val="2"/>
      <w:sz w:val="21"/>
      <w:szCs w:val="22"/>
    </w:rPr>
  </w:style>
  <w:style w:type="paragraph" w:customStyle="1" w:styleId="16">
    <w:name w:val="Revision"/>
    <w:autoRedefine/>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937</Words>
  <Characters>1181</Characters>
  <Lines>5</Lines>
  <Paragraphs>3</Paragraphs>
  <TotalTime>49</TotalTime>
  <ScaleCrop>false</ScaleCrop>
  <LinksUpToDate>false</LinksUpToDate>
  <CharactersWithSpaces>1219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2024-01-30T06:31:00Z</dcterms:created>
  <dc:creator>wee</dc:creator>
  <cp:lastModifiedBy>BP.Bai</cp:lastModifiedBy>
  <dcterms:modified xsi:type="dcterms:W3CDTF">2024-11-09T05:16:55Z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528C0500DEA247C2967B40FFC963E332_13</vt:lpwstr>
  </property>
</Properties>
</file>