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036AF">
      <w:pPr>
        <w:adjustRightInd w:val="0"/>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海口市食品接触用包装容器产品质量监督抽查实施细则</w:t>
      </w:r>
    </w:p>
    <w:p w14:paraId="1F7CCF71">
      <w:pPr>
        <w:adjustRightInd w:val="0"/>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69D56316">
      <w:pPr>
        <w:snapToGrid w:val="0"/>
        <w:spacing w:line="440" w:lineRule="exact"/>
        <w:ind w:firstLine="359" w:firstLineChars="171"/>
        <w:rPr>
          <w:rFonts w:ascii="宋体" w:hAnsi="宋体"/>
          <w:color w:val="000000"/>
        </w:rPr>
      </w:pPr>
      <w:bookmarkStart w:id="1" w:name="_GoBack"/>
      <w:bookmarkEnd w:id="1"/>
    </w:p>
    <w:p w14:paraId="3C707FAC">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02D0F0BC">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366EE214">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1E0BAE85">
      <w:pPr>
        <w:snapToGrid w:val="0"/>
        <w:spacing w:line="440" w:lineRule="exact"/>
        <w:ind w:firstLine="420" w:firstLineChars="200"/>
        <w:rPr>
          <w:szCs w:val="21"/>
        </w:rPr>
      </w:pPr>
      <w:r>
        <w:rPr>
          <w:szCs w:val="21"/>
        </w:rPr>
        <w:t>抽样基数满足抽样数量即可。</w:t>
      </w:r>
    </w:p>
    <w:p w14:paraId="7F385F4C">
      <w:pPr>
        <w:snapToGrid w:val="0"/>
        <w:spacing w:line="440" w:lineRule="exact"/>
        <w:ind w:firstLine="420" w:firstLineChars="200"/>
        <w:rPr>
          <w:szCs w:val="21"/>
        </w:rPr>
      </w:pPr>
      <w:r>
        <w:rPr>
          <w:szCs w:val="21"/>
        </w:rPr>
        <w:t>每批次抽样数量见</w:t>
      </w:r>
      <w:r>
        <w:rPr>
          <w:rFonts w:hint="eastAsia"/>
          <w:szCs w:val="21"/>
          <w:lang w:val="en-US" w:eastAsia="zh-CN"/>
        </w:rPr>
        <w:t>下表</w:t>
      </w:r>
      <w:r>
        <w:rPr>
          <w:szCs w:val="21"/>
        </w:rPr>
        <w:t>。</w:t>
      </w:r>
    </w:p>
    <w:p w14:paraId="73F9F97E">
      <w:pPr>
        <w:snapToGrid w:val="0"/>
        <w:spacing w:line="440" w:lineRule="exact"/>
        <w:jc w:val="center"/>
        <w:rPr>
          <w:rFonts w:hint="default" w:ascii="Times New Roman" w:hAnsi="Times New Roman" w:cs="Times New Roman"/>
          <w:color w:val="000000"/>
          <w:szCs w:val="21"/>
          <w:lang w:val="en-US" w:eastAsia="zh-CN"/>
        </w:rPr>
      </w:pPr>
      <w:r>
        <w:rPr>
          <w:rFonts w:hint="default" w:ascii="Times New Roman" w:hAnsi="Times New Roman" w:eastAsia="宋体" w:cs="Times New Roman"/>
          <w:szCs w:val="21"/>
        </w:rPr>
        <w:t>表</w:t>
      </w:r>
      <w:r>
        <w:rPr>
          <w:rFonts w:hint="default" w:ascii="Times New Roman" w:hAnsi="Times New Roman" w:cs="Times New Roman"/>
          <w:szCs w:val="21"/>
          <w:lang w:val="en-US" w:eastAsia="zh-CN"/>
        </w:rPr>
        <w:t>1</w:t>
      </w:r>
      <w:r>
        <w:rPr>
          <w:rFonts w:hint="default" w:ascii="Times New Roman" w:hAnsi="Times New Roman" w:eastAsia="宋体" w:cs="Times New Roman"/>
          <w:szCs w:val="21"/>
        </w:rPr>
        <w:t xml:space="preserve"> </w:t>
      </w:r>
      <w:r>
        <w:rPr>
          <w:rFonts w:hint="default" w:ascii="Times New Roman" w:hAnsi="Times New Roman" w:cs="Times New Roman"/>
          <w:color w:val="000000"/>
          <w:szCs w:val="21"/>
          <w:lang w:val="en-US" w:eastAsia="zh-CN"/>
        </w:rPr>
        <w:t>食品接触用包装袋、塑料包装容器</w:t>
      </w:r>
    </w:p>
    <w:tbl>
      <w:tblPr>
        <w:tblStyle w:val="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569"/>
        <w:gridCol w:w="5684"/>
      </w:tblGrid>
      <w:tr w14:paraId="4C0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46" w:type="dxa"/>
            <w:noWrap w:val="0"/>
            <w:vAlign w:val="center"/>
          </w:tcPr>
          <w:p w14:paraId="75486B96">
            <w:pPr>
              <w:snapToGrid w:val="0"/>
              <w:spacing w:line="440" w:lineRule="exact"/>
              <w:jc w:val="center"/>
              <w:rPr>
                <w:rFonts w:hint="default" w:ascii="Times New Roman" w:hAnsi="Times New Roman" w:cs="Times New Roman"/>
                <w:szCs w:val="21"/>
              </w:rPr>
            </w:pPr>
            <w:bookmarkStart w:id="0" w:name="_Hlk39069485"/>
            <w:r>
              <w:rPr>
                <w:rFonts w:hint="default" w:ascii="Times New Roman" w:hAnsi="Times New Roman" w:cs="Times New Roman"/>
                <w:szCs w:val="21"/>
              </w:rPr>
              <w:t>序号</w:t>
            </w:r>
          </w:p>
        </w:tc>
        <w:tc>
          <w:tcPr>
            <w:tcW w:w="2569" w:type="dxa"/>
            <w:noWrap w:val="0"/>
            <w:vAlign w:val="center"/>
          </w:tcPr>
          <w:p w14:paraId="197EC0B2">
            <w:pPr>
              <w:snapToGrid w:val="0"/>
              <w:spacing w:line="44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容量</w:t>
            </w:r>
          </w:p>
        </w:tc>
        <w:tc>
          <w:tcPr>
            <w:tcW w:w="5684" w:type="dxa"/>
            <w:noWrap w:val="0"/>
            <w:vAlign w:val="center"/>
          </w:tcPr>
          <w:p w14:paraId="347DA155">
            <w:pPr>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抽样数量</w:t>
            </w:r>
          </w:p>
        </w:tc>
      </w:tr>
      <w:tr w14:paraId="106D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746" w:type="dxa"/>
            <w:noWrap w:val="0"/>
            <w:vAlign w:val="center"/>
          </w:tcPr>
          <w:p w14:paraId="7AA7027D">
            <w:pPr>
              <w:snapToGrid w:val="0"/>
              <w:spacing w:line="44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2569" w:type="dxa"/>
            <w:noWrap w:val="0"/>
            <w:vAlign w:val="center"/>
          </w:tcPr>
          <w:p w14:paraId="49F53EBC">
            <w:pPr>
              <w:snapToGrid w:val="0"/>
              <w:spacing w:line="440" w:lineRule="exac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容量≥4L</w:t>
            </w:r>
          </w:p>
        </w:tc>
        <w:tc>
          <w:tcPr>
            <w:tcW w:w="5684" w:type="dxa"/>
            <w:noWrap w:val="0"/>
            <w:vAlign w:val="center"/>
          </w:tcPr>
          <w:p w14:paraId="6FDCA5ED">
            <w:pPr>
              <w:numPr>
                <w:ilvl w:val="0"/>
                <w:numId w:val="0"/>
              </w:numPr>
              <w:snapToGrid w:val="0"/>
              <w:spacing w:line="440" w:lineRule="exact"/>
              <w:jc w:val="center"/>
              <w:rPr>
                <w:rFonts w:hint="default" w:ascii="Times New Roman" w:hAnsi="Times New Roman" w:cs="Times New Roman"/>
                <w:lang w:eastAsia="zh-CN"/>
              </w:rPr>
            </w:pPr>
            <w:r>
              <w:rPr>
                <w:rFonts w:hint="default" w:ascii="Times New Roman" w:hAnsi="Times New Roman" w:cs="Times New Roman"/>
                <w:lang w:val="en-US" w:eastAsia="zh-CN"/>
              </w:rPr>
              <w:t>20个</w:t>
            </w:r>
            <w:r>
              <w:rPr>
                <w:rFonts w:hint="default" w:ascii="Times New Roman" w:hAnsi="Times New Roman" w:cs="Times New Roman"/>
              </w:rPr>
              <w:t>（检验用样品</w:t>
            </w:r>
            <w:r>
              <w:rPr>
                <w:rFonts w:hint="default" w:ascii="Times New Roman" w:hAnsi="Times New Roman" w:cs="Times New Roman"/>
                <w:lang w:val="en-US" w:eastAsia="zh-CN"/>
              </w:rPr>
              <w:t>10个</w:t>
            </w:r>
            <w:r>
              <w:rPr>
                <w:rFonts w:hint="default" w:ascii="Times New Roman" w:hAnsi="Times New Roman" w:cs="Times New Roman"/>
              </w:rPr>
              <w:t>，备用样品1</w:t>
            </w:r>
            <w:r>
              <w:rPr>
                <w:rFonts w:hint="default" w:ascii="Times New Roman" w:hAnsi="Times New Roman" w:cs="Times New Roman"/>
                <w:lang w:val="en-US" w:eastAsia="zh-CN"/>
              </w:rPr>
              <w:t>0个</w:t>
            </w:r>
            <w:r>
              <w:rPr>
                <w:rFonts w:hint="default" w:ascii="Times New Roman" w:hAnsi="Times New Roman" w:cs="Times New Roman"/>
              </w:rPr>
              <w:t>）</w:t>
            </w:r>
          </w:p>
        </w:tc>
      </w:tr>
      <w:tr w14:paraId="047E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746" w:type="dxa"/>
            <w:noWrap w:val="0"/>
            <w:vAlign w:val="center"/>
          </w:tcPr>
          <w:p w14:paraId="4775602B">
            <w:pPr>
              <w:snapToGrid w:val="0"/>
              <w:spacing w:line="44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2569" w:type="dxa"/>
            <w:noWrap w:val="0"/>
            <w:vAlign w:val="center"/>
          </w:tcPr>
          <w:p w14:paraId="1369B184">
            <w:pPr>
              <w:snapToGrid w:val="0"/>
              <w:spacing w:line="440" w:lineRule="exac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容量＜4L</w:t>
            </w:r>
          </w:p>
        </w:tc>
        <w:tc>
          <w:tcPr>
            <w:tcW w:w="5684" w:type="dxa"/>
            <w:noWrap w:val="0"/>
            <w:vAlign w:val="center"/>
          </w:tcPr>
          <w:p w14:paraId="5DF0CFCB">
            <w:pPr>
              <w:numPr>
                <w:ilvl w:val="0"/>
                <w:numId w:val="0"/>
              </w:numPr>
              <w:snapToGrid w:val="0"/>
              <w:spacing w:line="4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50个</w:t>
            </w:r>
            <w:r>
              <w:rPr>
                <w:rFonts w:hint="default" w:ascii="Times New Roman" w:hAnsi="Times New Roman" w:cs="Times New Roman"/>
              </w:rPr>
              <w:t>（检验用样品</w:t>
            </w:r>
            <w:r>
              <w:rPr>
                <w:rFonts w:hint="default" w:ascii="Times New Roman" w:hAnsi="Times New Roman" w:cs="Times New Roman"/>
                <w:lang w:val="en-US" w:eastAsia="zh-CN"/>
              </w:rPr>
              <w:t>30个</w:t>
            </w:r>
            <w:r>
              <w:rPr>
                <w:rFonts w:hint="default" w:ascii="Times New Roman" w:hAnsi="Times New Roman" w:cs="Times New Roman"/>
              </w:rPr>
              <w:t>，备用样品</w:t>
            </w:r>
            <w:r>
              <w:rPr>
                <w:rFonts w:hint="default" w:ascii="Times New Roman" w:hAnsi="Times New Roman" w:cs="Times New Roman"/>
                <w:lang w:val="en-US" w:eastAsia="zh-CN"/>
              </w:rPr>
              <w:t>20个</w:t>
            </w:r>
            <w:r>
              <w:rPr>
                <w:rFonts w:hint="default" w:ascii="Times New Roman" w:hAnsi="Times New Roman" w:cs="Times New Roman"/>
              </w:rPr>
              <w:t>）</w:t>
            </w:r>
          </w:p>
        </w:tc>
      </w:tr>
      <w:bookmarkEnd w:id="0"/>
    </w:tbl>
    <w:p w14:paraId="66F73030">
      <w:pPr>
        <w:adjustRightInd w:val="0"/>
        <w:snapToGrid w:val="0"/>
        <w:ind w:firstLine="420" w:firstLineChars="200"/>
        <w:jc w:val="center"/>
        <w:rPr>
          <w:rFonts w:hint="default" w:ascii="Times New Roman" w:hAnsi="Times New Roman" w:eastAsia="宋体" w:cs="Times New Roman"/>
          <w:szCs w:val="21"/>
          <w:lang w:eastAsia="zh-CN"/>
        </w:rPr>
      </w:pPr>
    </w:p>
    <w:p w14:paraId="311EB9C5">
      <w:pPr>
        <w:adjustRightInd w:val="0"/>
        <w:snapToGrid w:val="0"/>
        <w:ind w:firstLine="420" w:firstLineChars="200"/>
        <w:jc w:val="center"/>
        <w:rPr>
          <w:rFonts w:hint="default" w:ascii="Times New Roman" w:hAnsi="Times New Roman" w:eastAsia="宋体" w:cs="Times New Roman"/>
          <w:szCs w:val="21"/>
        </w:rPr>
      </w:pPr>
      <w:r>
        <w:rPr>
          <w:rFonts w:hint="default" w:ascii="Times New Roman" w:hAnsi="Times New Roman" w:eastAsia="宋体" w:cs="Times New Roman"/>
          <w:szCs w:val="21"/>
        </w:rPr>
        <w:t>表</w:t>
      </w:r>
      <w:r>
        <w:rPr>
          <w:rFonts w:hint="default" w:ascii="Times New Roman" w:hAnsi="Times New Roman" w:cs="Times New Roman"/>
          <w:szCs w:val="21"/>
          <w:lang w:val="en-US" w:eastAsia="zh-CN"/>
        </w:rPr>
        <w:t>2</w:t>
      </w:r>
      <w:r>
        <w:rPr>
          <w:rFonts w:hint="default" w:ascii="Times New Roman" w:hAnsi="Times New Roman" w:eastAsia="宋体" w:cs="Times New Roman"/>
          <w:szCs w:val="21"/>
        </w:rPr>
        <w:t xml:space="preserve"> 食品接触用金属制品</w:t>
      </w:r>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422"/>
        <w:gridCol w:w="1995"/>
        <w:gridCol w:w="1710"/>
        <w:gridCol w:w="1813"/>
      </w:tblGrid>
      <w:tr w14:paraId="7DFD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40" w:type="dxa"/>
            <w:gridSpan w:val="2"/>
            <w:vAlign w:val="center"/>
          </w:tcPr>
          <w:p w14:paraId="0824DD06">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1995" w:type="dxa"/>
            <w:vAlign w:val="center"/>
          </w:tcPr>
          <w:p w14:paraId="45D163B1">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总量</w:t>
            </w:r>
          </w:p>
        </w:tc>
        <w:tc>
          <w:tcPr>
            <w:tcW w:w="1710" w:type="dxa"/>
            <w:vAlign w:val="center"/>
          </w:tcPr>
          <w:p w14:paraId="54C30269">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检验量</w:t>
            </w:r>
          </w:p>
        </w:tc>
        <w:tc>
          <w:tcPr>
            <w:tcW w:w="1813" w:type="dxa"/>
            <w:vAlign w:val="center"/>
          </w:tcPr>
          <w:p w14:paraId="2638C140">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备样量</w:t>
            </w:r>
          </w:p>
        </w:tc>
      </w:tr>
      <w:tr w14:paraId="27BC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8" w:type="dxa"/>
            <w:vMerge w:val="restart"/>
            <w:vAlign w:val="center"/>
          </w:tcPr>
          <w:p w14:paraId="17589294">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空心制品</w:t>
            </w:r>
          </w:p>
        </w:tc>
        <w:tc>
          <w:tcPr>
            <w:tcW w:w="2422" w:type="dxa"/>
            <w:vAlign w:val="center"/>
          </w:tcPr>
          <w:p w14:paraId="11C22515">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小空心制品（容积小于200mL的制品）</w:t>
            </w:r>
          </w:p>
        </w:tc>
        <w:tc>
          <w:tcPr>
            <w:tcW w:w="1995" w:type="dxa"/>
            <w:vAlign w:val="center"/>
          </w:tcPr>
          <w:p w14:paraId="1FAAB848">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≥6只（1.2L以上）</w:t>
            </w:r>
          </w:p>
        </w:tc>
        <w:tc>
          <w:tcPr>
            <w:tcW w:w="1710" w:type="dxa"/>
            <w:vAlign w:val="center"/>
          </w:tcPr>
          <w:p w14:paraId="171CA83C">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≥4只（0.8L以上）</w:t>
            </w:r>
          </w:p>
        </w:tc>
        <w:tc>
          <w:tcPr>
            <w:tcW w:w="1813" w:type="dxa"/>
            <w:vAlign w:val="center"/>
          </w:tcPr>
          <w:p w14:paraId="710BC273">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≥2只（0.4L以上）</w:t>
            </w:r>
          </w:p>
        </w:tc>
      </w:tr>
      <w:tr w14:paraId="0F4D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18" w:type="dxa"/>
            <w:vMerge w:val="continue"/>
            <w:vAlign w:val="center"/>
          </w:tcPr>
          <w:p w14:paraId="4BBD5CB6">
            <w:pPr>
              <w:pStyle w:val="4"/>
              <w:jc w:val="center"/>
              <w:rPr>
                <w:rFonts w:hint="default" w:ascii="Times New Roman" w:hAnsi="Times New Roman" w:cs="Times New Roman"/>
                <w:sz w:val="21"/>
                <w:szCs w:val="21"/>
              </w:rPr>
            </w:pPr>
          </w:p>
        </w:tc>
        <w:tc>
          <w:tcPr>
            <w:tcW w:w="2422" w:type="dxa"/>
            <w:vAlign w:val="center"/>
          </w:tcPr>
          <w:p w14:paraId="4E3537E1">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大空心制品（容积大于等于200mL的制品，小于3L的制品）</w:t>
            </w:r>
          </w:p>
        </w:tc>
        <w:tc>
          <w:tcPr>
            <w:tcW w:w="1995" w:type="dxa"/>
            <w:vAlign w:val="center"/>
          </w:tcPr>
          <w:p w14:paraId="13413D5C">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≥6只（1.2L以上）</w:t>
            </w:r>
          </w:p>
        </w:tc>
        <w:tc>
          <w:tcPr>
            <w:tcW w:w="1710" w:type="dxa"/>
            <w:vAlign w:val="center"/>
          </w:tcPr>
          <w:p w14:paraId="725F119E">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≥4只（0.8L以上）</w:t>
            </w:r>
          </w:p>
        </w:tc>
        <w:tc>
          <w:tcPr>
            <w:tcW w:w="1813" w:type="dxa"/>
            <w:vAlign w:val="center"/>
          </w:tcPr>
          <w:p w14:paraId="7057A8E2">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≥2只（0.4L以上）</w:t>
            </w:r>
          </w:p>
        </w:tc>
      </w:tr>
      <w:tr w14:paraId="60E8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8" w:type="dxa"/>
            <w:vMerge w:val="restart"/>
            <w:vAlign w:val="center"/>
          </w:tcPr>
          <w:p w14:paraId="06BDDB0E">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扁平制品</w:t>
            </w:r>
          </w:p>
        </w:tc>
        <w:tc>
          <w:tcPr>
            <w:tcW w:w="2422" w:type="dxa"/>
            <w:vAlign w:val="center"/>
          </w:tcPr>
          <w:p w14:paraId="1D94873E">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面积大于等于200cm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/只</w:t>
            </w:r>
          </w:p>
        </w:tc>
        <w:tc>
          <w:tcPr>
            <w:tcW w:w="1995" w:type="dxa"/>
            <w:vAlign w:val="center"/>
          </w:tcPr>
          <w:p w14:paraId="5CEF4096">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≥6只（总面积不少于1200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710" w:type="dxa"/>
            <w:vAlign w:val="center"/>
          </w:tcPr>
          <w:p w14:paraId="24F91E4C">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≥4只（总面积不少于800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813" w:type="dxa"/>
            <w:vAlign w:val="center"/>
          </w:tcPr>
          <w:p w14:paraId="3A8394EE">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≥2只（总面积不少于400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r>
      <w:tr w14:paraId="451F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8" w:type="dxa"/>
            <w:vMerge w:val="continue"/>
            <w:vAlign w:val="center"/>
          </w:tcPr>
          <w:p w14:paraId="22E2780B">
            <w:pPr>
              <w:pStyle w:val="4"/>
              <w:jc w:val="center"/>
              <w:rPr>
                <w:rFonts w:hint="default" w:ascii="Times New Roman" w:hAnsi="Times New Roman" w:cs="Times New Roman"/>
                <w:sz w:val="21"/>
                <w:szCs w:val="21"/>
              </w:rPr>
            </w:pPr>
          </w:p>
        </w:tc>
        <w:tc>
          <w:tcPr>
            <w:tcW w:w="2422" w:type="dxa"/>
            <w:vAlign w:val="center"/>
          </w:tcPr>
          <w:p w14:paraId="4818F6BA">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面积小于200cm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/只</w:t>
            </w:r>
          </w:p>
        </w:tc>
        <w:tc>
          <w:tcPr>
            <w:tcW w:w="1995" w:type="dxa"/>
            <w:vAlign w:val="center"/>
          </w:tcPr>
          <w:p w14:paraId="34436C9F">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≥12只（总面积不少于1200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710" w:type="dxa"/>
            <w:vAlign w:val="center"/>
          </w:tcPr>
          <w:p w14:paraId="47963E7D">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≥8只（总面积不少于800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813" w:type="dxa"/>
            <w:vAlign w:val="center"/>
          </w:tcPr>
          <w:p w14:paraId="4B9100A6">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≥4只（总面积不少于400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r>
      <w:tr w14:paraId="1E68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540" w:type="dxa"/>
            <w:gridSpan w:val="2"/>
            <w:vAlign w:val="center"/>
          </w:tcPr>
          <w:p w14:paraId="7403F8E1">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贮存容器（容积大于等于3L的制品）</w:t>
            </w:r>
          </w:p>
        </w:tc>
        <w:tc>
          <w:tcPr>
            <w:tcW w:w="1995" w:type="dxa"/>
            <w:vAlign w:val="center"/>
          </w:tcPr>
          <w:p w14:paraId="477E6C87">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≥6只</w:t>
            </w:r>
          </w:p>
        </w:tc>
        <w:tc>
          <w:tcPr>
            <w:tcW w:w="1710" w:type="dxa"/>
            <w:vAlign w:val="center"/>
          </w:tcPr>
          <w:p w14:paraId="402AE622">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w:t>
            </w:r>
          </w:p>
        </w:tc>
        <w:tc>
          <w:tcPr>
            <w:tcW w:w="1813" w:type="dxa"/>
            <w:vAlign w:val="center"/>
          </w:tcPr>
          <w:p w14:paraId="50296065">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≥2只</w:t>
            </w:r>
          </w:p>
        </w:tc>
      </w:tr>
      <w:tr w14:paraId="66E4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40" w:type="dxa"/>
            <w:gridSpan w:val="2"/>
            <w:vAlign w:val="center"/>
          </w:tcPr>
          <w:p w14:paraId="2FDDC3D4">
            <w:pPr>
              <w:pStyle w:val="4"/>
              <w:jc w:val="center"/>
              <w:rPr>
                <w:rFonts w:hint="default" w:ascii="Times New Roman" w:hAnsi="Times New Roman" w:cs="Times New Roman"/>
                <w:sz w:val="21"/>
                <w:szCs w:val="21"/>
              </w:rPr>
            </w:pPr>
            <w:r>
              <w:rPr>
                <w:rFonts w:hint="default" w:ascii="Times New Roman" w:hAnsi="Times New Roman" w:cs="Times New Roman"/>
                <w:sz w:val="21"/>
                <w:szCs w:val="21"/>
              </w:rPr>
              <w:t>勺子、餐刀、筷子等面积小于200cm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/只</w:t>
            </w:r>
          </w:p>
        </w:tc>
        <w:tc>
          <w:tcPr>
            <w:tcW w:w="1995" w:type="dxa"/>
            <w:vAlign w:val="center"/>
          </w:tcPr>
          <w:p w14:paraId="71E1629C">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≥12只（总面积不少于1200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710" w:type="dxa"/>
            <w:vAlign w:val="center"/>
          </w:tcPr>
          <w:p w14:paraId="0483DAC6">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≥8只（总面积不少于800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c>
          <w:tcPr>
            <w:tcW w:w="1813" w:type="dxa"/>
            <w:vAlign w:val="center"/>
          </w:tcPr>
          <w:p w14:paraId="21B6F88B">
            <w:pPr>
              <w:pStyle w:val="4"/>
              <w:jc w:val="center"/>
              <w:rPr>
                <w:rFonts w:hint="default" w:ascii="Times New Roman" w:hAnsi="Times New Roman" w:cs="Times New Roman"/>
                <w:sz w:val="21"/>
                <w:szCs w:val="21"/>
              </w:rPr>
            </w:pPr>
            <w:r>
              <w:rPr>
                <w:rFonts w:hint="default" w:ascii="Times New Roman" w:hAnsi="Times New Roman" w:cs="Times New Roman"/>
                <w:bCs/>
                <w:sz w:val="21"/>
                <w:szCs w:val="21"/>
              </w:rPr>
              <w:t>≥4只（总面积不少于400</w:t>
            </w:r>
            <w:r>
              <w:rPr>
                <w:rFonts w:hint="default" w:ascii="Times New Roman" w:hAnsi="Times New Roman" w:cs="Times New Roman"/>
                <w:sz w:val="21"/>
                <w:szCs w:val="21"/>
              </w:rPr>
              <w:t>cm</w:t>
            </w:r>
            <w:r>
              <w:rPr>
                <w:rFonts w:hint="default" w:ascii="Times New Roman" w:hAnsi="Times New Roman" w:cs="Times New Roman"/>
                <w:sz w:val="21"/>
                <w:szCs w:val="21"/>
                <w:vertAlign w:val="superscript"/>
              </w:rPr>
              <w:t>2</w:t>
            </w:r>
            <w:r>
              <w:rPr>
                <w:rFonts w:hint="default" w:ascii="Times New Roman" w:hAnsi="Times New Roman" w:cs="Times New Roman"/>
                <w:bCs/>
                <w:sz w:val="21"/>
                <w:szCs w:val="21"/>
              </w:rPr>
              <w:t>）</w:t>
            </w:r>
          </w:p>
        </w:tc>
      </w:tr>
    </w:tbl>
    <w:p w14:paraId="44CD98EF">
      <w:pPr>
        <w:snapToGrid w:val="0"/>
        <w:spacing w:line="440" w:lineRule="exact"/>
        <w:rPr>
          <w:rFonts w:hint="default" w:ascii="Times New Roman" w:hAnsi="Times New Roman" w:eastAsia="黑体" w:cs="Times New Roman"/>
          <w:color w:val="000000"/>
          <w:szCs w:val="21"/>
        </w:rPr>
      </w:pPr>
    </w:p>
    <w:p w14:paraId="522657DA">
      <w:pPr>
        <w:snapToGrid w:val="0"/>
        <w:spacing w:line="440" w:lineRule="exact"/>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2 检验依据</w:t>
      </w:r>
    </w:p>
    <w:p w14:paraId="3460B9EF">
      <w:pPr>
        <w:snapToGrid w:val="0"/>
        <w:spacing w:line="4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表3 食品接触用包装袋、塑料包装容器</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5"/>
        <w:gridCol w:w="1923"/>
        <w:gridCol w:w="3073"/>
        <w:gridCol w:w="3102"/>
      </w:tblGrid>
      <w:tr w14:paraId="75DD4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586" w:type="pct"/>
            <w:vAlign w:val="center"/>
          </w:tcPr>
          <w:p w14:paraId="00575916">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048" w:type="pct"/>
            <w:vAlign w:val="center"/>
          </w:tcPr>
          <w:p w14:paraId="16A62761">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1675" w:type="pct"/>
            <w:vAlign w:val="center"/>
          </w:tcPr>
          <w:p w14:paraId="0E82D869">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检验依据</w:t>
            </w:r>
          </w:p>
        </w:tc>
        <w:tc>
          <w:tcPr>
            <w:tcW w:w="1690" w:type="pct"/>
            <w:vAlign w:val="center"/>
          </w:tcPr>
          <w:p w14:paraId="5037863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检验方法</w:t>
            </w:r>
          </w:p>
        </w:tc>
      </w:tr>
      <w:tr w14:paraId="2B0F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86" w:type="pct"/>
            <w:vAlign w:val="center"/>
          </w:tcPr>
          <w:p w14:paraId="1819DC4B">
            <w:pPr>
              <w:numPr>
                <w:ilvl w:val="0"/>
                <w:numId w:val="0"/>
              </w:numPr>
              <w:adjustRightInd w:val="0"/>
              <w:snapToGrid w:val="0"/>
              <w:ind w:left="440" w:leftChars="0" w:hanging="440" w:firstLineChars="0"/>
              <w:jc w:val="center"/>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1</w:t>
            </w:r>
          </w:p>
        </w:tc>
        <w:tc>
          <w:tcPr>
            <w:tcW w:w="1048" w:type="pct"/>
            <w:shd w:val="clear" w:color="auto" w:fill="auto"/>
            <w:vAlign w:val="center"/>
          </w:tcPr>
          <w:p w14:paraId="0D7D175F">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lang w:val="pt-BR"/>
                <w14:textFill>
                  <w14:solidFill>
                    <w14:schemeClr w14:val="tx1"/>
                  </w14:solidFill>
                </w14:textFill>
              </w:rPr>
              <w:t>总迁移量</w:t>
            </w:r>
          </w:p>
        </w:tc>
        <w:tc>
          <w:tcPr>
            <w:tcW w:w="1675" w:type="pct"/>
            <w:shd w:val="clear" w:color="auto" w:fill="auto"/>
            <w:vAlign w:val="center"/>
          </w:tcPr>
          <w:p w14:paraId="43D0D3F5">
            <w:pPr>
              <w:widowControl/>
              <w:adjustRightInd w:val="0"/>
              <w:snapToGrid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GB 4806.7</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2023</w:t>
            </w:r>
          </w:p>
          <w:p w14:paraId="7DE16F68">
            <w:pPr>
              <w:pStyle w:val="4"/>
              <w:jc w:val="center"/>
              <w:rPr>
                <w:rFonts w:hint="default" w:ascii="Times New Roman" w:hAnsi="Times New Roman" w:cs="Times New Roman"/>
                <w:lang w:val="en-US" w:eastAsia="zh-CN"/>
              </w:rPr>
            </w:pPr>
            <w:r>
              <w:rPr>
                <w:rFonts w:hint="default" w:ascii="Times New Roman" w:hAnsi="Times New Roman" w:cs="Times New Roman"/>
                <w:color w:val="000000" w:themeColor="text1"/>
                <w:sz w:val="21"/>
                <w:szCs w:val="21"/>
                <w14:textFill>
                  <w14:solidFill>
                    <w14:schemeClr w14:val="tx1"/>
                  </w14:solidFill>
                </w14:textFill>
              </w:rPr>
              <w:t>GB 4806.</w:t>
            </w:r>
            <w:r>
              <w:rPr>
                <w:rFonts w:hint="default" w:ascii="Times New Roman" w:hAnsi="Times New Roman" w:cs="Times New Roman"/>
                <w:color w:val="000000" w:themeColor="text1"/>
                <w:sz w:val="21"/>
                <w:szCs w:val="21"/>
                <w:lang w:val="en-US" w:eastAsia="zh-CN"/>
                <w14:textFill>
                  <w14:solidFill>
                    <w14:schemeClr w14:val="tx1"/>
                  </w14:solidFill>
                </w14:textFill>
              </w:rPr>
              <w:t>13</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2023</w:t>
            </w:r>
          </w:p>
        </w:tc>
        <w:tc>
          <w:tcPr>
            <w:tcW w:w="1690" w:type="pct"/>
            <w:shd w:val="clear" w:color="auto" w:fill="auto"/>
            <w:vAlign w:val="center"/>
          </w:tcPr>
          <w:p w14:paraId="5E79FB3D">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lang w:val="pt-BR"/>
                <w14:textFill>
                  <w14:solidFill>
                    <w14:schemeClr w14:val="tx1"/>
                  </w14:solidFill>
                </w14:textFill>
              </w:rPr>
              <w:t>GB 31604.8</w:t>
            </w:r>
            <w:r>
              <w:rPr>
                <w:rFonts w:hint="default" w:ascii="Times New Roman" w:hAnsi="Times New Roman" w:cs="Times New Roman"/>
                <w:color w:val="000000" w:themeColor="text1"/>
                <w:lang w:val="pt-BR" w:eastAsia="zh-CN"/>
                <w14:textFill>
                  <w14:solidFill>
                    <w14:schemeClr w14:val="tx1"/>
                  </w14:solidFill>
                </w14:textFill>
              </w:rPr>
              <w:t>-</w:t>
            </w:r>
            <w:r>
              <w:rPr>
                <w:rFonts w:hint="default" w:ascii="Times New Roman" w:hAnsi="Times New Roman" w:cs="Times New Roman"/>
                <w:color w:val="000000" w:themeColor="text1"/>
                <w:lang w:val="pt-BR"/>
                <w14:textFill>
                  <w14:solidFill>
                    <w14:schemeClr w14:val="tx1"/>
                  </w14:solidFill>
                </w14:textFill>
              </w:rPr>
              <w:t>2021</w:t>
            </w:r>
          </w:p>
        </w:tc>
      </w:tr>
      <w:tr w14:paraId="1803D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86" w:type="pct"/>
            <w:vAlign w:val="center"/>
          </w:tcPr>
          <w:p w14:paraId="2D577B53">
            <w:pPr>
              <w:numPr>
                <w:ilvl w:val="0"/>
                <w:numId w:val="0"/>
              </w:numPr>
              <w:adjustRightInd w:val="0"/>
              <w:snapToGrid w:val="0"/>
              <w:ind w:left="440" w:leftChars="0" w:hanging="440" w:firstLineChars="0"/>
              <w:jc w:val="center"/>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2</w:t>
            </w:r>
          </w:p>
        </w:tc>
        <w:tc>
          <w:tcPr>
            <w:tcW w:w="1048" w:type="pct"/>
            <w:shd w:val="clear" w:color="auto" w:fill="auto"/>
            <w:vAlign w:val="center"/>
          </w:tcPr>
          <w:p w14:paraId="0C17B21A">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lang w:val="pt-BR"/>
                <w14:textFill>
                  <w14:solidFill>
                    <w14:schemeClr w14:val="tx1"/>
                  </w14:solidFill>
                </w14:textFill>
              </w:rPr>
              <w:t>高锰酸钾消耗量</w:t>
            </w:r>
          </w:p>
        </w:tc>
        <w:tc>
          <w:tcPr>
            <w:tcW w:w="1675" w:type="pct"/>
            <w:shd w:val="clear" w:color="auto" w:fill="auto"/>
            <w:vAlign w:val="center"/>
          </w:tcPr>
          <w:p w14:paraId="74CC2429">
            <w:pPr>
              <w:widowControl/>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4806.7</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p w14:paraId="737094D3">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13</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tc>
        <w:tc>
          <w:tcPr>
            <w:tcW w:w="1690" w:type="pct"/>
            <w:shd w:val="clear" w:color="auto" w:fill="auto"/>
            <w:vAlign w:val="center"/>
          </w:tcPr>
          <w:p w14:paraId="4F93CAB5">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lang w:val="pt-BR"/>
                <w14:textFill>
                  <w14:solidFill>
                    <w14:schemeClr w14:val="tx1"/>
                  </w14:solidFill>
                </w14:textFill>
              </w:rPr>
              <w:t>GB 31604.2</w:t>
            </w:r>
            <w:r>
              <w:rPr>
                <w:rFonts w:hint="default" w:ascii="Times New Roman" w:hAnsi="Times New Roman" w:cs="Times New Roman"/>
                <w:color w:val="000000" w:themeColor="text1"/>
                <w:lang w:val="pt-BR" w:eastAsia="zh-CN"/>
                <w14:textFill>
                  <w14:solidFill>
                    <w14:schemeClr w14:val="tx1"/>
                  </w14:solidFill>
                </w14:textFill>
              </w:rPr>
              <w:t>-</w:t>
            </w:r>
            <w:r>
              <w:rPr>
                <w:rFonts w:hint="default" w:ascii="Times New Roman" w:hAnsi="Times New Roman" w:cs="Times New Roman"/>
                <w:color w:val="000000" w:themeColor="text1"/>
                <w:lang w:val="pt-BR"/>
                <w14:textFill>
                  <w14:solidFill>
                    <w14:schemeClr w14:val="tx1"/>
                  </w14:solidFill>
                </w14:textFill>
              </w:rPr>
              <w:t xml:space="preserve">2016 </w:t>
            </w:r>
          </w:p>
        </w:tc>
      </w:tr>
      <w:tr w14:paraId="4AAF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86" w:type="pct"/>
            <w:vAlign w:val="center"/>
          </w:tcPr>
          <w:p w14:paraId="4CEA92B8">
            <w:pPr>
              <w:numPr>
                <w:ilvl w:val="0"/>
                <w:numId w:val="0"/>
              </w:numPr>
              <w:adjustRightInd w:val="0"/>
              <w:snapToGrid w:val="0"/>
              <w:ind w:left="440" w:leftChars="0" w:hanging="440" w:firstLineChars="0"/>
              <w:jc w:val="center"/>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3</w:t>
            </w:r>
          </w:p>
        </w:tc>
        <w:tc>
          <w:tcPr>
            <w:tcW w:w="1048" w:type="pct"/>
            <w:shd w:val="clear" w:color="auto" w:fill="auto"/>
            <w:vAlign w:val="center"/>
          </w:tcPr>
          <w:p w14:paraId="2076093A">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lang w:val="pt-BR" w:bidi="ar"/>
                <w14:textFill>
                  <w14:solidFill>
                    <w14:schemeClr w14:val="tx1"/>
                  </w14:solidFill>
                </w14:textFill>
              </w:rPr>
              <w:t>重金属（以Pb计）</w:t>
            </w:r>
          </w:p>
        </w:tc>
        <w:tc>
          <w:tcPr>
            <w:tcW w:w="1675" w:type="pct"/>
            <w:shd w:val="clear" w:color="auto" w:fill="auto"/>
            <w:vAlign w:val="center"/>
          </w:tcPr>
          <w:p w14:paraId="488EBA4A">
            <w:pPr>
              <w:widowControl/>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4806.7</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p w14:paraId="1FD3D1B3">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13</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tc>
        <w:tc>
          <w:tcPr>
            <w:tcW w:w="1690" w:type="pct"/>
            <w:shd w:val="clear" w:color="auto" w:fill="auto"/>
            <w:vAlign w:val="center"/>
          </w:tcPr>
          <w:p w14:paraId="31A5AC23">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lang w:val="pt-BR"/>
                <w14:textFill>
                  <w14:solidFill>
                    <w14:schemeClr w14:val="tx1"/>
                  </w14:solidFill>
                </w14:textFill>
              </w:rPr>
              <w:t>GB 31604.9</w:t>
            </w:r>
            <w:r>
              <w:rPr>
                <w:rFonts w:hint="default" w:ascii="Times New Roman" w:hAnsi="Times New Roman" w:cs="Times New Roman"/>
                <w:color w:val="000000" w:themeColor="text1"/>
                <w:lang w:val="pt-BR" w:eastAsia="zh-CN"/>
                <w14:textFill>
                  <w14:solidFill>
                    <w14:schemeClr w14:val="tx1"/>
                  </w14:solidFill>
                </w14:textFill>
              </w:rPr>
              <w:t>-</w:t>
            </w:r>
            <w:r>
              <w:rPr>
                <w:rFonts w:hint="default" w:ascii="Times New Roman" w:hAnsi="Times New Roman" w:cs="Times New Roman"/>
                <w:color w:val="000000" w:themeColor="text1"/>
                <w:lang w:val="pt-BR"/>
                <w14:textFill>
                  <w14:solidFill>
                    <w14:schemeClr w14:val="tx1"/>
                  </w14:solidFill>
                </w14:textFill>
              </w:rPr>
              <w:t xml:space="preserve">2016 </w:t>
            </w:r>
          </w:p>
        </w:tc>
      </w:tr>
      <w:tr w14:paraId="090AE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86" w:type="pct"/>
            <w:vAlign w:val="center"/>
          </w:tcPr>
          <w:p w14:paraId="64357522">
            <w:pPr>
              <w:numPr>
                <w:ilvl w:val="0"/>
                <w:numId w:val="0"/>
              </w:numPr>
              <w:adjustRightInd w:val="0"/>
              <w:snapToGrid w:val="0"/>
              <w:ind w:left="440" w:leftChars="0" w:hanging="440" w:firstLineChars="0"/>
              <w:jc w:val="center"/>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4</w:t>
            </w:r>
          </w:p>
        </w:tc>
        <w:tc>
          <w:tcPr>
            <w:tcW w:w="1048" w:type="pct"/>
            <w:shd w:val="clear" w:color="auto" w:fill="auto"/>
            <w:vAlign w:val="center"/>
          </w:tcPr>
          <w:p w14:paraId="6BD0EB38">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lang w:val="pt-BR" w:bidi="ar"/>
                <w14:textFill>
                  <w14:solidFill>
                    <w14:schemeClr w14:val="tx1"/>
                  </w14:solidFill>
                </w14:textFill>
              </w:rPr>
              <w:t>脱色试验</w:t>
            </w:r>
            <w:r>
              <w:rPr>
                <w:rFonts w:hint="default" w:ascii="Times New Roman" w:hAnsi="Times New Roman" w:cs="Times New Roman"/>
                <w:color w:val="000000" w:themeColor="text1"/>
                <w:szCs w:val="21"/>
                <w:vertAlign w:val="superscript"/>
                <w:lang w:val="en-US" w:eastAsia="zh-CN" w:bidi="ar"/>
                <w14:textFill>
                  <w14:solidFill>
                    <w14:schemeClr w14:val="tx1"/>
                  </w14:solidFill>
                </w14:textFill>
              </w:rPr>
              <w:t>a</w:t>
            </w:r>
          </w:p>
        </w:tc>
        <w:tc>
          <w:tcPr>
            <w:tcW w:w="1675" w:type="pct"/>
            <w:shd w:val="clear" w:color="auto" w:fill="auto"/>
            <w:vAlign w:val="center"/>
          </w:tcPr>
          <w:p w14:paraId="11699DBA">
            <w:pPr>
              <w:widowControl/>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4806.7</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p w14:paraId="41BC2D4F">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13</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tc>
        <w:tc>
          <w:tcPr>
            <w:tcW w:w="1690" w:type="pct"/>
            <w:shd w:val="clear" w:color="auto" w:fill="auto"/>
            <w:vAlign w:val="center"/>
          </w:tcPr>
          <w:p w14:paraId="4E1093CF">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lang w:val="pt-BR" w:bidi="ar"/>
                <w14:textFill>
                  <w14:solidFill>
                    <w14:schemeClr w14:val="tx1"/>
                  </w14:solidFill>
                </w14:textFill>
              </w:rPr>
              <w:t>GB 31604.7</w:t>
            </w:r>
            <w:r>
              <w:rPr>
                <w:rFonts w:hint="default" w:ascii="Times New Roman" w:hAnsi="Times New Roman" w:cs="Times New Roman"/>
                <w:color w:val="000000" w:themeColor="text1"/>
                <w:szCs w:val="21"/>
                <w:lang w:val="pt-BR" w:eastAsia="zh-CN" w:bidi="ar"/>
                <w14:textFill>
                  <w14:solidFill>
                    <w14:schemeClr w14:val="tx1"/>
                  </w14:solidFill>
                </w14:textFill>
              </w:rPr>
              <w:t>-</w:t>
            </w:r>
            <w:r>
              <w:rPr>
                <w:rFonts w:hint="default" w:ascii="Times New Roman" w:hAnsi="Times New Roman" w:cs="Times New Roman"/>
                <w:color w:val="000000" w:themeColor="text1"/>
                <w:szCs w:val="21"/>
                <w:lang w:val="pt-BR" w:bidi="ar"/>
                <w14:textFill>
                  <w14:solidFill>
                    <w14:schemeClr w14:val="tx1"/>
                  </w14:solidFill>
                </w14:textFill>
              </w:rPr>
              <w:t>2023</w:t>
            </w:r>
          </w:p>
        </w:tc>
      </w:tr>
      <w:tr w14:paraId="2238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86" w:type="pct"/>
            <w:vAlign w:val="center"/>
          </w:tcPr>
          <w:p w14:paraId="4A6A8F59">
            <w:pPr>
              <w:numPr>
                <w:ilvl w:val="0"/>
                <w:numId w:val="0"/>
              </w:numPr>
              <w:adjustRightInd w:val="0"/>
              <w:snapToGrid w:val="0"/>
              <w:ind w:left="440" w:leftChars="0" w:hanging="440" w:firstLineChars="0"/>
              <w:jc w:val="center"/>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5</w:t>
            </w:r>
          </w:p>
        </w:tc>
        <w:tc>
          <w:tcPr>
            <w:tcW w:w="1048" w:type="pct"/>
            <w:shd w:val="clear" w:color="auto" w:fill="auto"/>
            <w:vAlign w:val="center"/>
          </w:tcPr>
          <w:p w14:paraId="08559ACF">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lang w:val="en-US" w:eastAsia="zh-CN"/>
                <w14:textFill>
                  <w14:solidFill>
                    <w14:schemeClr w14:val="tx1"/>
                  </w14:solidFill>
                </w14:textFill>
              </w:rPr>
              <w:t>标签标识</w:t>
            </w:r>
          </w:p>
        </w:tc>
        <w:tc>
          <w:tcPr>
            <w:tcW w:w="1675" w:type="pct"/>
            <w:shd w:val="clear" w:color="auto" w:fill="auto"/>
            <w:vAlign w:val="center"/>
          </w:tcPr>
          <w:p w14:paraId="5AF599B9">
            <w:pPr>
              <w:widowControl/>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4806.7</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p w14:paraId="1420024C">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13</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2023</w:t>
            </w:r>
          </w:p>
        </w:tc>
        <w:tc>
          <w:tcPr>
            <w:tcW w:w="1690" w:type="pct"/>
            <w:shd w:val="clear" w:color="auto" w:fill="auto"/>
            <w:vAlign w:val="center"/>
          </w:tcPr>
          <w:p w14:paraId="4540A7B4">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4806.7</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w:t>
            </w:r>
            <w:r>
              <w:rPr>
                <w:rFonts w:hint="default" w:ascii="Times New Roman" w:hAnsi="Times New Roman" w:cs="Times New Roman"/>
                <w:color w:val="000000" w:themeColor="text1"/>
                <w:szCs w:val="21"/>
                <w:lang w:val="en-US" w:eastAsia="zh-CN"/>
                <w14:textFill>
                  <w14:solidFill>
                    <w14:schemeClr w14:val="tx1"/>
                  </w14:solidFill>
                </w14:textFill>
              </w:rPr>
              <w:t>23</w:t>
            </w:r>
            <w:r>
              <w:rPr>
                <w:rFonts w:hint="default" w:ascii="Times New Roman" w:hAnsi="Times New Roman" w:cs="Times New Roman"/>
                <w:color w:val="000000" w:themeColor="text1"/>
                <w:szCs w:val="21"/>
                <w14:textFill>
                  <w14:solidFill>
                    <w14:schemeClr w14:val="tx1"/>
                  </w14:solidFill>
                </w14:textFill>
              </w:rPr>
              <w:t xml:space="preserve"> </w:t>
            </w:r>
          </w:p>
          <w:p w14:paraId="5CE9E5F1">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1-2016</w:t>
            </w:r>
          </w:p>
        </w:tc>
      </w:tr>
      <w:tr w14:paraId="0043A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000" w:type="pct"/>
            <w:gridSpan w:val="4"/>
            <w:vAlign w:val="center"/>
          </w:tcPr>
          <w:p w14:paraId="72CDA619">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注：</w:t>
            </w:r>
            <w:r>
              <w:rPr>
                <w:rFonts w:hint="default" w:ascii="Times New Roman" w:hAnsi="Times New Roman" w:cs="Times New Roman"/>
              </w:rPr>
              <w:t xml:space="preserve"> </w:t>
            </w:r>
            <w:r>
              <w:rPr>
                <w:rFonts w:hint="default" w:ascii="Times New Roman" w:hAnsi="Times New Roman" w:cs="Times New Roman"/>
                <w:lang w:val="en-US" w:eastAsia="zh-CN"/>
              </w:rPr>
              <w:t>a项目仅适用于</w:t>
            </w:r>
            <w:r>
              <w:rPr>
                <w:rFonts w:hint="default" w:ascii="Times New Roman" w:hAnsi="Times New Roman" w:cs="Times New Roman"/>
                <w:color w:val="000000"/>
              </w:rPr>
              <w:t>添加了着色剂的产品。</w:t>
            </w:r>
          </w:p>
        </w:tc>
      </w:tr>
    </w:tbl>
    <w:p w14:paraId="081F83C7">
      <w:pPr>
        <w:snapToGrid w:val="0"/>
        <w:spacing w:line="4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表4 食品接触用</w:t>
      </w:r>
      <w:r>
        <w:rPr>
          <w:rFonts w:hint="default" w:ascii="Times New Roman" w:hAnsi="Times New Roman" w:eastAsia="宋体" w:cs="Times New Roman"/>
          <w:szCs w:val="21"/>
        </w:rPr>
        <w:t>金属制品</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5"/>
        <w:gridCol w:w="2065"/>
        <w:gridCol w:w="3214"/>
        <w:gridCol w:w="3239"/>
      </w:tblGrid>
      <w:tr w14:paraId="6CD9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2" w:hRule="atLeast"/>
          <w:tblHeader/>
          <w:jc w:val="center"/>
        </w:trPr>
        <w:tc>
          <w:tcPr>
            <w:tcW w:w="357" w:type="pct"/>
            <w:vAlign w:val="center"/>
          </w:tcPr>
          <w:p w14:paraId="020B87A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1125" w:type="pct"/>
            <w:vAlign w:val="center"/>
          </w:tcPr>
          <w:p w14:paraId="374DBE35">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检验项目</w:t>
            </w:r>
          </w:p>
        </w:tc>
        <w:tc>
          <w:tcPr>
            <w:tcW w:w="1751" w:type="pct"/>
            <w:vAlign w:val="center"/>
          </w:tcPr>
          <w:p w14:paraId="5B2019E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检验依据</w:t>
            </w:r>
          </w:p>
        </w:tc>
        <w:tc>
          <w:tcPr>
            <w:tcW w:w="1765" w:type="pct"/>
            <w:vAlign w:val="center"/>
          </w:tcPr>
          <w:p w14:paraId="367E8060">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检验方法</w:t>
            </w:r>
          </w:p>
        </w:tc>
      </w:tr>
      <w:tr w14:paraId="0A9E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6" w:hRule="atLeast"/>
          <w:jc w:val="center"/>
        </w:trPr>
        <w:tc>
          <w:tcPr>
            <w:tcW w:w="357" w:type="pct"/>
            <w:vAlign w:val="center"/>
          </w:tcPr>
          <w:p w14:paraId="7931CFD5">
            <w:pPr>
              <w:numPr>
                <w:ilvl w:val="0"/>
                <w:numId w:val="1"/>
              </w:numPr>
              <w:adjustRightInd w:val="0"/>
              <w:snapToGrid w:val="0"/>
              <w:jc w:val="center"/>
              <w:rPr>
                <w:rFonts w:hint="default" w:ascii="Times New Roman" w:hAnsi="Times New Roman" w:cs="Times New Roman"/>
                <w:szCs w:val="21"/>
              </w:rPr>
            </w:pPr>
          </w:p>
        </w:tc>
        <w:tc>
          <w:tcPr>
            <w:tcW w:w="1125" w:type="pct"/>
            <w:shd w:val="clear" w:color="auto" w:fill="auto"/>
            <w:vAlign w:val="center"/>
          </w:tcPr>
          <w:p w14:paraId="319F8C9C">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砷（As）</w:t>
            </w:r>
          </w:p>
        </w:tc>
        <w:tc>
          <w:tcPr>
            <w:tcW w:w="1751" w:type="pct"/>
            <w:shd w:val="clear" w:color="auto" w:fill="auto"/>
            <w:vAlign w:val="center"/>
          </w:tcPr>
          <w:p w14:paraId="72FEF7EF">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2023</w:t>
            </w:r>
          </w:p>
        </w:tc>
        <w:tc>
          <w:tcPr>
            <w:tcW w:w="1765" w:type="pct"/>
            <w:shd w:val="clear" w:color="auto" w:fill="auto"/>
            <w:vAlign w:val="center"/>
          </w:tcPr>
          <w:p w14:paraId="3EE640BD">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GB 31604.49-2023</w:t>
            </w:r>
          </w:p>
        </w:tc>
      </w:tr>
      <w:tr w14:paraId="76708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6" w:hRule="atLeast"/>
          <w:jc w:val="center"/>
        </w:trPr>
        <w:tc>
          <w:tcPr>
            <w:tcW w:w="357" w:type="pct"/>
            <w:vAlign w:val="center"/>
          </w:tcPr>
          <w:p w14:paraId="2FB386A1">
            <w:pPr>
              <w:numPr>
                <w:ilvl w:val="0"/>
                <w:numId w:val="1"/>
              </w:numPr>
              <w:adjustRightInd w:val="0"/>
              <w:snapToGrid w:val="0"/>
              <w:jc w:val="center"/>
              <w:rPr>
                <w:rFonts w:hint="default" w:ascii="Times New Roman" w:hAnsi="Times New Roman" w:cs="Times New Roman"/>
                <w:szCs w:val="21"/>
              </w:rPr>
            </w:pPr>
          </w:p>
        </w:tc>
        <w:tc>
          <w:tcPr>
            <w:tcW w:w="1125" w:type="pct"/>
            <w:shd w:val="clear" w:color="auto" w:fill="auto"/>
            <w:vAlign w:val="center"/>
          </w:tcPr>
          <w:p w14:paraId="7D766EAC">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镉（Cd）</w:t>
            </w:r>
          </w:p>
        </w:tc>
        <w:tc>
          <w:tcPr>
            <w:tcW w:w="1751" w:type="pct"/>
            <w:shd w:val="clear" w:color="auto" w:fill="auto"/>
            <w:vAlign w:val="center"/>
          </w:tcPr>
          <w:p w14:paraId="6025754A">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2023</w:t>
            </w:r>
          </w:p>
        </w:tc>
        <w:tc>
          <w:tcPr>
            <w:tcW w:w="1765" w:type="pct"/>
            <w:shd w:val="clear" w:color="auto" w:fill="auto"/>
            <w:vAlign w:val="center"/>
          </w:tcPr>
          <w:p w14:paraId="2532DAE9">
            <w:pPr>
              <w:widowControl/>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GB 31604.49-2023</w:t>
            </w:r>
          </w:p>
        </w:tc>
      </w:tr>
      <w:tr w14:paraId="004D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357" w:type="pct"/>
            <w:vAlign w:val="center"/>
          </w:tcPr>
          <w:p w14:paraId="624F2495">
            <w:pPr>
              <w:numPr>
                <w:ilvl w:val="0"/>
                <w:numId w:val="1"/>
              </w:numPr>
              <w:adjustRightInd w:val="0"/>
              <w:snapToGrid w:val="0"/>
              <w:jc w:val="center"/>
              <w:rPr>
                <w:rFonts w:hint="default" w:ascii="Times New Roman" w:hAnsi="Times New Roman" w:cs="Times New Roman"/>
                <w:szCs w:val="21"/>
              </w:rPr>
            </w:pPr>
          </w:p>
        </w:tc>
        <w:tc>
          <w:tcPr>
            <w:tcW w:w="1125" w:type="pct"/>
            <w:shd w:val="clear" w:color="auto" w:fill="auto"/>
            <w:vAlign w:val="center"/>
          </w:tcPr>
          <w:p w14:paraId="04CA3B2E">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lang w:val="en-US" w:eastAsia="zh-CN"/>
                <w14:textFill>
                  <w14:solidFill>
                    <w14:schemeClr w14:val="tx1"/>
                  </w14:solidFill>
                </w14:textFill>
              </w:rPr>
              <w:t>标签标识</w:t>
            </w:r>
          </w:p>
        </w:tc>
        <w:tc>
          <w:tcPr>
            <w:tcW w:w="1751" w:type="pct"/>
            <w:shd w:val="clear" w:color="auto" w:fill="auto"/>
            <w:vAlign w:val="center"/>
          </w:tcPr>
          <w:p w14:paraId="3A1D0703">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2023</w:t>
            </w:r>
          </w:p>
        </w:tc>
        <w:tc>
          <w:tcPr>
            <w:tcW w:w="1765" w:type="pct"/>
            <w:shd w:val="clear" w:color="auto" w:fill="auto"/>
            <w:vAlign w:val="center"/>
          </w:tcPr>
          <w:p w14:paraId="319E6E8F">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9-</w:t>
            </w:r>
            <w:r>
              <w:rPr>
                <w:rFonts w:hint="default" w:ascii="Times New Roman" w:hAnsi="Times New Roman" w:cs="Times New Roman"/>
                <w:color w:val="000000" w:themeColor="text1"/>
                <w:szCs w:val="21"/>
                <w14:textFill>
                  <w14:solidFill>
                    <w14:schemeClr w14:val="tx1"/>
                  </w14:solidFill>
                </w14:textFill>
              </w:rPr>
              <w:t xml:space="preserve">2023 </w:t>
            </w:r>
          </w:p>
          <w:p w14:paraId="4EAA10CB">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themeColor="text1"/>
                <w:szCs w:val="21"/>
                <w14:textFill>
                  <w14:solidFill>
                    <w14:schemeClr w14:val="tx1"/>
                  </w14:solidFill>
                </w14:textFill>
              </w:rPr>
              <w:t>GB 4806.</w:t>
            </w:r>
            <w:r>
              <w:rPr>
                <w:rFonts w:hint="default" w:ascii="Times New Roman" w:hAnsi="Times New Roman" w:cs="Times New Roman"/>
                <w:color w:val="000000" w:themeColor="text1"/>
                <w:szCs w:val="21"/>
                <w:lang w:val="en-US" w:eastAsia="zh-CN"/>
                <w14:textFill>
                  <w14:solidFill>
                    <w14:schemeClr w14:val="tx1"/>
                  </w14:solidFill>
                </w14:textFill>
              </w:rPr>
              <w:t>1-2016</w:t>
            </w:r>
          </w:p>
        </w:tc>
      </w:tr>
    </w:tbl>
    <w:p w14:paraId="4350B138">
      <w:pPr>
        <w:adjustRightInd w:val="0"/>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执行企业标准、团体标准、地方标准的产品，检验项目参照上述内容执行。</w:t>
      </w:r>
    </w:p>
    <w:p w14:paraId="30CC6FA6">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14:paraId="077E9886">
      <w:pPr>
        <w:snapToGrid w:val="0"/>
        <w:spacing w:line="440" w:lineRule="exact"/>
        <w:ind w:firstLine="359" w:firstLineChars="171"/>
        <w:rPr>
          <w:rFonts w:hint="default" w:ascii="Times New Roman" w:hAnsi="Times New Roman" w:cs="Times New Roman"/>
          <w:color w:val="000000"/>
          <w:szCs w:val="21"/>
        </w:rPr>
      </w:pPr>
    </w:p>
    <w:p w14:paraId="0F288AD6">
      <w:pPr>
        <w:spacing w:line="360" w:lineRule="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3 判定规则</w:t>
      </w:r>
    </w:p>
    <w:p w14:paraId="1F28A983">
      <w:pPr>
        <w:snapToGrid w:val="0"/>
        <w:spacing w:line="440" w:lineRule="exact"/>
        <w:rPr>
          <w:rFonts w:hint="default" w:ascii="Times New Roman" w:hAnsi="Times New Roman" w:cs="Times New Roman"/>
          <w:color w:val="000000"/>
          <w:szCs w:val="21"/>
        </w:rPr>
      </w:pPr>
      <w:r>
        <w:rPr>
          <w:rFonts w:hint="default" w:ascii="Times New Roman" w:hAnsi="Times New Roman" w:cs="Times New Roman"/>
          <w:color w:val="000000"/>
          <w:szCs w:val="21"/>
        </w:rPr>
        <w:t>3.1依据标准</w:t>
      </w:r>
    </w:p>
    <w:p w14:paraId="2BD09A39">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GB 4806.</w:t>
      </w:r>
      <w:r>
        <w:rPr>
          <w:rFonts w:hint="default" w:ascii="Times New Roman" w:hAnsi="Times New Roman" w:cs="Times New Roman"/>
          <w:color w:val="000000"/>
          <w:szCs w:val="21"/>
          <w:lang w:val="en-US" w:eastAsia="zh-CN"/>
        </w:rPr>
        <w:t>7-2023</w:t>
      </w:r>
      <w:r>
        <w:rPr>
          <w:rFonts w:hint="default" w:ascii="Times New Roman" w:hAnsi="Times New Roman" w:cs="Times New Roman"/>
          <w:color w:val="000000"/>
          <w:szCs w:val="21"/>
        </w:rPr>
        <w:t xml:space="preserve">  食品安全国家标准 食品接触用</w:t>
      </w:r>
      <w:r>
        <w:rPr>
          <w:rFonts w:hint="default" w:ascii="Times New Roman" w:hAnsi="Times New Roman" w:cs="Times New Roman"/>
          <w:color w:val="000000"/>
          <w:szCs w:val="21"/>
          <w:lang w:val="en-US" w:eastAsia="zh-CN"/>
        </w:rPr>
        <w:t>塑料</w:t>
      </w:r>
      <w:r>
        <w:rPr>
          <w:rFonts w:hint="default" w:ascii="Times New Roman" w:hAnsi="Times New Roman" w:cs="Times New Roman"/>
          <w:color w:val="000000"/>
          <w:szCs w:val="21"/>
        </w:rPr>
        <w:t>材料及制品</w:t>
      </w:r>
    </w:p>
    <w:p w14:paraId="441BBF50">
      <w:pPr>
        <w:snapToGrid w:val="0"/>
        <w:spacing w:line="440" w:lineRule="exact"/>
        <w:ind w:firstLine="420" w:firstLineChars="200"/>
        <w:rPr>
          <w:rFonts w:hint="default" w:ascii="Times New Roman" w:hAnsi="Times New Roman" w:cs="Times New Roman"/>
        </w:rPr>
      </w:pPr>
      <w:r>
        <w:rPr>
          <w:rFonts w:hint="default" w:ascii="Times New Roman" w:hAnsi="Times New Roman" w:cs="Times New Roman"/>
          <w:color w:val="000000"/>
          <w:szCs w:val="21"/>
        </w:rPr>
        <w:t>GB 4806.9</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2023  食品安全国家标准 食品接触用金属材料及制品</w:t>
      </w:r>
    </w:p>
    <w:p w14:paraId="3DA4599F">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GB 4806.</w:t>
      </w:r>
      <w:r>
        <w:rPr>
          <w:rFonts w:hint="default" w:ascii="Times New Roman" w:hAnsi="Times New Roman" w:cs="Times New Roman"/>
          <w:color w:val="000000"/>
          <w:szCs w:val="21"/>
          <w:lang w:val="en-US" w:eastAsia="zh-CN"/>
        </w:rPr>
        <w:t>13</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2023  食品安全国家标准 食品接触用</w:t>
      </w:r>
      <w:r>
        <w:rPr>
          <w:rFonts w:hint="default" w:ascii="Times New Roman" w:hAnsi="Times New Roman" w:cs="Times New Roman"/>
          <w:color w:val="000000"/>
          <w:szCs w:val="21"/>
          <w:lang w:val="en-US" w:eastAsia="zh-CN"/>
        </w:rPr>
        <w:t>复合</w:t>
      </w:r>
      <w:r>
        <w:rPr>
          <w:rFonts w:hint="default" w:ascii="Times New Roman" w:hAnsi="Times New Roman" w:cs="Times New Roman"/>
          <w:color w:val="000000"/>
          <w:szCs w:val="21"/>
        </w:rPr>
        <w:t>材料及制品</w:t>
      </w:r>
    </w:p>
    <w:p w14:paraId="0B8BBD95">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现行有效的企业标准、团体标准、地方标准及产品明示质量要求</w:t>
      </w:r>
    </w:p>
    <w:p w14:paraId="1EEBF7FA">
      <w:pPr>
        <w:snapToGrid w:val="0"/>
        <w:spacing w:line="440" w:lineRule="exact"/>
        <w:rPr>
          <w:rFonts w:hint="default" w:ascii="Times New Roman" w:hAnsi="Times New Roman" w:cs="Times New Roman"/>
          <w:color w:val="000000"/>
          <w:szCs w:val="21"/>
        </w:rPr>
      </w:pPr>
      <w:r>
        <w:rPr>
          <w:rFonts w:hint="default" w:ascii="Times New Roman" w:hAnsi="Times New Roman" w:cs="Times New Roman"/>
          <w:color w:val="000000"/>
          <w:szCs w:val="21"/>
        </w:rPr>
        <w:t>3.2判定原则</w:t>
      </w:r>
    </w:p>
    <w:p w14:paraId="7F5FD51D">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经检验，检验项目全部合格，判定为被抽查产品所检项目未发现不合格；检验项目中任一项或一项以上不合格，判定为被抽查产品不合格。</w:t>
      </w:r>
    </w:p>
    <w:p w14:paraId="3663A78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若被检产品明示的质量要求高于本细则中检验项目依据的标准要求时，应按被检产品明示的质量要求判定。</w:t>
      </w:r>
    </w:p>
    <w:p w14:paraId="5DD2FB81">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若被检产品明示的质量要求低于本细则中检验项目依据的强制性标准要求时，应按照强制性标准要求判定。</w:t>
      </w:r>
    </w:p>
    <w:p w14:paraId="6CD8685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若被检产品明示的质量要求低于或包含本细则中检验项目依据的推荐性标准要求时，应以被检产品明示的质量要求判定。</w:t>
      </w:r>
    </w:p>
    <w:p w14:paraId="74262C7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若被检产品明示的质量要求缺少本细则中检验项目依据的强制性标准要求时，应按照强制性标准要求判定。</w:t>
      </w:r>
    </w:p>
    <w:p w14:paraId="40E7AF7D">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若被检产品明示的质量要求缺少本细则中检验项目依据的推荐性标准要求时，该项目不参与判定。</w:t>
      </w:r>
    </w:p>
    <w:p w14:paraId="241A68EE">
      <w:pPr>
        <w:adjustRightInd w:val="0"/>
        <w:snapToGrid w:val="0"/>
        <w:spacing w:line="440" w:lineRule="exact"/>
        <w:ind w:firstLine="420" w:firstLineChars="200"/>
        <w:rPr>
          <w:rFonts w:hint="default" w:ascii="Times New Roman" w:hAnsi="Times New Roman" w:cs="Times New Roman"/>
          <w:color w:val="000000"/>
        </w:rPr>
      </w:pPr>
    </w:p>
    <w:p w14:paraId="03BC0312">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9E008-725A-442F-9081-38C2782C17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Malgun Gothic Semilight"/>
    <w:panose1 w:val="00000000000000000000"/>
    <w:charset w:val="86"/>
    <w:family w:val="script"/>
    <w:pitch w:val="default"/>
    <w:sig w:usb0="00000000" w:usb1="00000000" w:usb2="00000010" w:usb3="00000000" w:csb0="00040000" w:csb1="00000000"/>
    <w:embedRegular r:id="rId2" w:fontKey="{82762A82-CDEA-4AA9-969D-9FF601DC06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2DDF">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6ACEDEF1">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4F9D">
    <w:pPr>
      <w:pStyle w:val="6"/>
      <w:framePr w:wrap="around" w:vAnchor="text" w:hAnchor="margin" w:xAlign="center" w:y="1"/>
      <w:rPr>
        <w:rStyle w:val="12"/>
        <w:sz w:val="21"/>
        <w:szCs w:val="24"/>
      </w:rPr>
    </w:pPr>
    <w:r>
      <w:fldChar w:fldCharType="begin"/>
    </w:r>
    <w:r>
      <w:rPr>
        <w:rStyle w:val="12"/>
      </w:rPr>
      <w:instrText xml:space="preserve">PAGE  </w:instrText>
    </w:r>
    <w:r>
      <w:fldChar w:fldCharType="separate"/>
    </w:r>
    <w:r>
      <w:rPr>
        <w:rStyle w:val="12"/>
      </w:rPr>
      <w:t>2</w:t>
    </w:r>
    <w:r>
      <w:fldChar w:fldCharType="end"/>
    </w:r>
  </w:p>
  <w:p w14:paraId="147777F6">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C5A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78690"/>
    <w:multiLevelType w:val="multilevel"/>
    <w:tmpl w:val="71378690"/>
    <w:lvl w:ilvl="0" w:tentative="0">
      <w:start w:val="1"/>
      <w:numFmt w:val="decimal"/>
      <w:suff w:val="nothing"/>
      <w:lvlText w:val="%1"/>
      <w:lvlJc w:val="center"/>
      <w:pPr>
        <w:ind w:left="440" w:hanging="440"/>
      </w:pPr>
      <w:rPr>
        <w:rFonts w:hint="default"/>
      </w:rPr>
    </w:lvl>
    <w:lvl w:ilvl="1" w:tentative="0">
      <w:start w:val="1"/>
      <w:numFmt w:val="decimal"/>
      <w:lvlText w:val="%2"/>
      <w:lvlJc w:val="center"/>
      <w:pPr>
        <w:ind w:left="880" w:hanging="44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M2JlNDUxNzEwMDRmNjZjOWIxNDVlMTQxOGIwZWUifQ=="/>
  </w:docVars>
  <w:rsids>
    <w:rsidRoot w:val="00172A27"/>
    <w:rsid w:val="000268C6"/>
    <w:rsid w:val="00051A44"/>
    <w:rsid w:val="00055BF3"/>
    <w:rsid w:val="00061452"/>
    <w:rsid w:val="00081CBD"/>
    <w:rsid w:val="000976DE"/>
    <w:rsid w:val="000A39B2"/>
    <w:rsid w:val="000C3EDF"/>
    <w:rsid w:val="000C7E0B"/>
    <w:rsid w:val="00106321"/>
    <w:rsid w:val="00117059"/>
    <w:rsid w:val="00123D1C"/>
    <w:rsid w:val="00125A57"/>
    <w:rsid w:val="00172A27"/>
    <w:rsid w:val="001809DD"/>
    <w:rsid w:val="001950A8"/>
    <w:rsid w:val="001C643A"/>
    <w:rsid w:val="001E5749"/>
    <w:rsid w:val="0020116E"/>
    <w:rsid w:val="00232530"/>
    <w:rsid w:val="00252789"/>
    <w:rsid w:val="00253624"/>
    <w:rsid w:val="002D7F8A"/>
    <w:rsid w:val="002E0D1D"/>
    <w:rsid w:val="002E6C47"/>
    <w:rsid w:val="003203A3"/>
    <w:rsid w:val="00346A5A"/>
    <w:rsid w:val="0036206D"/>
    <w:rsid w:val="00365449"/>
    <w:rsid w:val="00365CBE"/>
    <w:rsid w:val="003A7D30"/>
    <w:rsid w:val="003B419D"/>
    <w:rsid w:val="003C388C"/>
    <w:rsid w:val="003D09A1"/>
    <w:rsid w:val="003D5F21"/>
    <w:rsid w:val="003D6CF9"/>
    <w:rsid w:val="003E61BF"/>
    <w:rsid w:val="003E6BAA"/>
    <w:rsid w:val="004104AC"/>
    <w:rsid w:val="00437474"/>
    <w:rsid w:val="00445E86"/>
    <w:rsid w:val="0045434D"/>
    <w:rsid w:val="00466F54"/>
    <w:rsid w:val="00474E04"/>
    <w:rsid w:val="00481E1D"/>
    <w:rsid w:val="004B1B52"/>
    <w:rsid w:val="004B4154"/>
    <w:rsid w:val="004B7547"/>
    <w:rsid w:val="004D0746"/>
    <w:rsid w:val="004D0C5A"/>
    <w:rsid w:val="004D184C"/>
    <w:rsid w:val="004E1396"/>
    <w:rsid w:val="004E6C21"/>
    <w:rsid w:val="00507D3B"/>
    <w:rsid w:val="00551828"/>
    <w:rsid w:val="00563EBC"/>
    <w:rsid w:val="005C6087"/>
    <w:rsid w:val="005E4B84"/>
    <w:rsid w:val="005F34B7"/>
    <w:rsid w:val="0060463C"/>
    <w:rsid w:val="0067489C"/>
    <w:rsid w:val="00683FA8"/>
    <w:rsid w:val="006A0C0E"/>
    <w:rsid w:val="006B339B"/>
    <w:rsid w:val="006E1171"/>
    <w:rsid w:val="006F0971"/>
    <w:rsid w:val="006F2A3C"/>
    <w:rsid w:val="006F3717"/>
    <w:rsid w:val="00720DEE"/>
    <w:rsid w:val="0072334C"/>
    <w:rsid w:val="007A21A1"/>
    <w:rsid w:val="007D0574"/>
    <w:rsid w:val="007D464E"/>
    <w:rsid w:val="008163CF"/>
    <w:rsid w:val="008255A3"/>
    <w:rsid w:val="0083267A"/>
    <w:rsid w:val="00840E73"/>
    <w:rsid w:val="008466BB"/>
    <w:rsid w:val="00874E9A"/>
    <w:rsid w:val="00882DA3"/>
    <w:rsid w:val="00895BEA"/>
    <w:rsid w:val="008A3497"/>
    <w:rsid w:val="008A3715"/>
    <w:rsid w:val="008F2F3F"/>
    <w:rsid w:val="00901B25"/>
    <w:rsid w:val="00917A54"/>
    <w:rsid w:val="00925EBA"/>
    <w:rsid w:val="0093653B"/>
    <w:rsid w:val="00982854"/>
    <w:rsid w:val="00997FEC"/>
    <w:rsid w:val="009A1AB3"/>
    <w:rsid w:val="009A503B"/>
    <w:rsid w:val="00A13F0B"/>
    <w:rsid w:val="00A20BD6"/>
    <w:rsid w:val="00A23D98"/>
    <w:rsid w:val="00A43553"/>
    <w:rsid w:val="00A90246"/>
    <w:rsid w:val="00AB49A6"/>
    <w:rsid w:val="00AB7919"/>
    <w:rsid w:val="00AC5391"/>
    <w:rsid w:val="00AD6EFD"/>
    <w:rsid w:val="00AE13DA"/>
    <w:rsid w:val="00AF05EB"/>
    <w:rsid w:val="00B02B69"/>
    <w:rsid w:val="00B13608"/>
    <w:rsid w:val="00B65F23"/>
    <w:rsid w:val="00B84D27"/>
    <w:rsid w:val="00BF2B8C"/>
    <w:rsid w:val="00C15CE7"/>
    <w:rsid w:val="00C22BC2"/>
    <w:rsid w:val="00C26074"/>
    <w:rsid w:val="00C27826"/>
    <w:rsid w:val="00C70B15"/>
    <w:rsid w:val="00C83B0A"/>
    <w:rsid w:val="00C95A54"/>
    <w:rsid w:val="00CD0E74"/>
    <w:rsid w:val="00CD3C33"/>
    <w:rsid w:val="00CE1E0C"/>
    <w:rsid w:val="00CE277E"/>
    <w:rsid w:val="00D470DE"/>
    <w:rsid w:val="00D56867"/>
    <w:rsid w:val="00D608F8"/>
    <w:rsid w:val="00DE1909"/>
    <w:rsid w:val="00DE267B"/>
    <w:rsid w:val="00E02A7F"/>
    <w:rsid w:val="00E07880"/>
    <w:rsid w:val="00E24AFE"/>
    <w:rsid w:val="00E366AA"/>
    <w:rsid w:val="00E40B15"/>
    <w:rsid w:val="00E4165C"/>
    <w:rsid w:val="00E82621"/>
    <w:rsid w:val="00EC292A"/>
    <w:rsid w:val="00EE36A4"/>
    <w:rsid w:val="00EE7F1B"/>
    <w:rsid w:val="00F211AD"/>
    <w:rsid w:val="00F233E5"/>
    <w:rsid w:val="00F75FB7"/>
    <w:rsid w:val="00F77C9A"/>
    <w:rsid w:val="00F81499"/>
    <w:rsid w:val="00FB576C"/>
    <w:rsid w:val="00FB764A"/>
    <w:rsid w:val="00FD2AA6"/>
    <w:rsid w:val="00FE7E8A"/>
    <w:rsid w:val="00FF1FEE"/>
    <w:rsid w:val="0DE26548"/>
    <w:rsid w:val="1D9E6001"/>
    <w:rsid w:val="49557320"/>
    <w:rsid w:val="4FC76963"/>
    <w:rsid w:val="5FA710E6"/>
    <w:rsid w:val="60D83F06"/>
    <w:rsid w:val="67D2303D"/>
    <w:rsid w:val="7A1D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List 2"/>
    <w:basedOn w:val="1"/>
    <w:autoRedefine/>
    <w:unhideWhenUsed/>
    <w:qFormat/>
    <w:uiPriority w:val="99"/>
    <w:pPr>
      <w:ind w:left="100" w:leftChars="200" w:hanging="200" w:hangingChars="200"/>
      <w:contextualSpacing/>
    </w:pPr>
    <w:rPr>
      <w:rFonts w:eastAsia="仿宋_GB2312"/>
    </w:rPr>
  </w:style>
  <w:style w:type="paragraph" w:styleId="4">
    <w:name w:val="Plain Text"/>
    <w:basedOn w:val="1"/>
    <w:unhideWhenUsed/>
    <w:qFormat/>
    <w:uiPriority w:val="99"/>
    <w:rPr>
      <w:rFonts w:ascii="宋体" w:hAnsi="Courier New" w:eastAsia="宋体" w:cs="Times New Roman"/>
      <w:kern w:val="0"/>
      <w:sz w:val="20"/>
      <w:szCs w:val="20"/>
    </w:r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kern w:val="2"/>
      <w:sz w:val="21"/>
      <w:szCs w:val="24"/>
    </w:rPr>
  </w:style>
  <w:style w:type="character" w:customStyle="1" w:styleId="15">
    <w:name w:val="批注框文本 字符"/>
    <w:link w:val="5"/>
    <w:autoRedefine/>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semiHidden/>
    <w:qFormat/>
    <w:uiPriority w:val="99"/>
    <w:rPr>
      <w:kern w:val="2"/>
      <w:sz w:val="18"/>
      <w:szCs w:val="18"/>
    </w:rPr>
  </w:style>
  <w:style w:type="character" w:customStyle="1" w:styleId="18">
    <w:name w:val="批注主题 字符"/>
    <w:link w:val="8"/>
    <w:autoRedefine/>
    <w:semiHidden/>
    <w:qFormat/>
    <w:uiPriority w:val="99"/>
    <w:rPr>
      <w:b/>
      <w:bCs/>
      <w:kern w:val="2"/>
      <w:sz w:val="21"/>
      <w:szCs w:val="24"/>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页脚 Char"/>
    <w:autoRedefine/>
    <w:qFormat/>
    <w:uiPriority w:val="99"/>
    <w:rPr>
      <w:kern w:val="2"/>
      <w:sz w:val="18"/>
      <w:szCs w:val="18"/>
    </w:rPr>
  </w:style>
  <w:style w:type="character" w:customStyle="1" w:styleId="22">
    <w:name w:val="页眉 Char"/>
    <w:autoRedefine/>
    <w:semiHidden/>
    <w:qFormat/>
    <w:uiPriority w:val="99"/>
    <w:rPr>
      <w:kern w:val="2"/>
      <w:sz w:val="18"/>
      <w:szCs w:val="18"/>
    </w:rPr>
  </w:style>
  <w:style w:type="character" w:customStyle="1" w:styleId="23">
    <w:name w:val="批注文字 Char"/>
    <w:autoRedefine/>
    <w:qFormat/>
    <w:uiPriority w:val="99"/>
    <w:rPr>
      <w:kern w:val="2"/>
      <w:sz w:val="21"/>
      <w:szCs w:val="24"/>
    </w:rPr>
  </w:style>
  <w:style w:type="character" w:customStyle="1" w:styleId="24">
    <w:name w:val="批注框文本 Char"/>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1126</Words>
  <Characters>1540</Characters>
  <Lines>23</Lines>
  <Paragraphs>6</Paragraphs>
  <TotalTime>3</TotalTime>
  <ScaleCrop>false</ScaleCrop>
  <LinksUpToDate>false</LinksUpToDate>
  <CharactersWithSpaces>1587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BP.Bai</cp:lastModifiedBy>
  <cp:lastPrinted>2019-12-05T07:53:00Z</cp:lastPrinted>
  <dcterms:modified xsi:type="dcterms:W3CDTF">2024-11-09T05:30:01Z</dcterms:modified>
  <dc:title>××产品质量监督抽查实施细则</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commondata">
    <vt:lpwstr>eyJoZGlkIjoiNDRmZDlmMjdkNDI1NjEzMmI2Y2M4ZTAxODQ5YmJlMTYifQ==</vt:lpwstr>
  </property>
  <property fmtid="{D5CDD505-2E9C-101B-9397-08002B2CF9AE}" pid="4" name="ICV">
    <vt:lpwstr>78D242F7FBDE4CC59CDA0AE7C335AE0D_13</vt:lpwstr>
  </property>
</Properties>
</file>